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Приложение N 8(1)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 устройств,</w:t>
      </w:r>
    </w:p>
    <w:p>
      <w:pPr>
        <w:pStyle w:val="0"/>
        <w:jc w:val="center"/>
      </w:pPr>
      <w:r>
        <w:rPr>
          <w:sz w:val="20"/>
        </w:rPr>
        <w:t xml:space="preserve">максимальная мощность которых составляет до 15 кВт</w:t>
      </w:r>
    </w:p>
    <w:p>
      <w:pPr>
        <w:pStyle w:val="0"/>
        <w:jc w:val="center"/>
      </w:pPr>
      <w:r>
        <w:rPr>
          <w:sz w:val="20"/>
        </w:rPr>
        <w:t xml:space="preserve">включительно (с учетом ранее присоединенных в данной точке</w:t>
      </w:r>
    </w:p>
    <w:p>
      <w:pPr>
        <w:pStyle w:val="0"/>
        <w:jc w:val="center"/>
      </w:pPr>
      <w:r>
        <w:rPr>
          <w:sz w:val="20"/>
        </w:rPr>
        <w:t xml:space="preserve">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                    выдачи паспорта или иного документа, удостоверяющего</w:t>
      </w:r>
    </w:p>
    <w:p>
      <w:pPr>
        <w:pStyle w:val="1"/>
        <w:jc w:val="both"/>
      </w:pPr>
      <w:r>
        <w:rPr>
          <w:sz w:val="20"/>
        </w:rPr>
        <w:t xml:space="preserve">                         личность в соответствии с законодательством</w:t>
      </w:r>
    </w:p>
    <w:p>
      <w:pPr>
        <w:pStyle w:val="1"/>
        <w:jc w:val="both"/>
      </w:pPr>
      <w:r>
        <w:rPr>
          <w:sz w:val="20"/>
        </w:rPr>
        <w:t xml:space="preserve">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1"/>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w:t>
      </w:r>
    </w:p>
    <w:p>
      <w:pPr>
        <w:pStyle w:val="1"/>
        <w:jc w:val="both"/>
      </w:pPr>
      <w:r>
        <w:rPr>
          <w:sz w:val="20"/>
        </w:rPr>
        <w:t xml:space="preserve">заявителя        (далее      -       технологическое         присоединение)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 хозяйства</w:t>
      </w:r>
    </w:p>
    <w:p>
      <w:pPr>
        <w:pStyle w:val="1"/>
        <w:jc w:val="both"/>
      </w:pPr>
      <w:r>
        <w:rPr>
          <w:sz w:val="20"/>
        </w:rPr>
        <w:t xml:space="preserve">(включая  их  проектирование, строительство, реконструкцию) к присоединению</w:t>
      </w:r>
    </w:p>
    <w:p>
      <w:pPr>
        <w:pStyle w:val="1"/>
        <w:jc w:val="both"/>
      </w:pPr>
      <w:r>
        <w:rPr>
          <w:sz w:val="20"/>
        </w:rPr>
        <w:t xml:space="preserve">энергопринимающих устройств и (или) объектов микрогенерации, урегулированию</w:t>
      </w:r>
    </w:p>
    <w:p>
      <w:pPr>
        <w:pStyle w:val="1"/>
        <w:jc w:val="both"/>
      </w:pPr>
      <w:r>
        <w:rPr>
          <w:sz w:val="20"/>
        </w:rPr>
        <w:t xml:space="preserve">отношений   с   третьими   лицами   в  случае  необходимости  строительства</w:t>
      </w:r>
    </w:p>
    <w:p>
      <w:pPr>
        <w:pStyle w:val="1"/>
        <w:jc w:val="both"/>
      </w:pPr>
      <w:r>
        <w:rPr>
          <w:sz w:val="20"/>
        </w:rPr>
        <w:t xml:space="preserve">(модернизации)  такими  лицами  принадлежащих  им  объектов электросетевого</w:t>
      </w:r>
    </w:p>
    <w:p>
      <w:pPr>
        <w:pStyle w:val="1"/>
        <w:jc w:val="both"/>
      </w:pPr>
      <w:r>
        <w:rPr>
          <w:sz w:val="20"/>
        </w:rPr>
        <w:t xml:space="preserve">хозяйства  (энергопринимающих  устройств,  объектов  электроэнергетики),  с</w:t>
      </w:r>
    </w:p>
    <w:p>
      <w:pPr>
        <w:pStyle w:val="1"/>
        <w:jc w:val="both"/>
      </w:pPr>
      <w:r>
        <w:rPr>
          <w:sz w:val="20"/>
        </w:rPr>
        <w:t xml:space="preserve">учетом 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 (кВт) </w:t>
      </w:r>
      <w:hyperlink w:history="0" w:anchor="P184"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_______ (кВт) </w:t>
      </w:r>
      <w:hyperlink w:history="0" w:anchor="P184"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history="0" w:anchor="P185"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199"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 (года) </w:t>
      </w:r>
      <w:hyperlink w:history="0" w:anchor="P186"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76" w:name="P76"/>
    <w:bookmarkEnd w:id="76"/>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187"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1"/>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82" w:name="P82"/>
    <w:bookmarkEnd w:id="82"/>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 рабочих дней со дня проведения осмотра (обследования), указанного в </w:t>
      </w:r>
      <w:hyperlink w:history="0" w:anchor="P82"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76"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93"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93" w:name="P93"/>
    <w:bookmarkEnd w:id="93"/>
    <w:p>
      <w:pPr>
        <w:pStyle w:val="0"/>
        <w:outlineLvl w:val="1"/>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187"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 N ________ и составляет _________ рублей 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 за технологическое</w:t>
      </w:r>
    </w:p>
    <w:p>
      <w:pPr>
        <w:pStyle w:val="1"/>
        <w:jc w:val="both"/>
      </w:pPr>
      <w:r>
        <w:rPr>
          <w:sz w:val="20"/>
        </w:rPr>
        <w:t xml:space="preserve">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1"/>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18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1"/>
        <w:jc w:val="center"/>
      </w:pPr>
      <w:r>
        <w:rPr>
          <w:sz w:val="20"/>
        </w:rPr>
        <w:t xml:space="preserve">V. Условия изменения, расторжения договора</w:t>
      </w:r>
    </w:p>
    <w:p>
      <w:pPr>
        <w:pStyle w:val="0"/>
        <w:jc w:val="center"/>
      </w:pPr>
      <w:r>
        <w:rPr>
          <w:sz w:val="20"/>
        </w:rPr>
        <w:t xml:space="preserve">и ответственности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4" w:tooltip="&quot;Гражданский кодекс Российской Федерации (часть первая)&quot; от 30.11.1994 N 51-ФЗ (ред. от 25.0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120" w:name="P120"/>
    <w:bookmarkEnd w:id="120"/>
    <w:p>
      <w:pPr>
        <w:pStyle w:val="0"/>
        <w:spacing w:before="200" w:line-rule="auto"/>
        <w:ind w:firstLine="540"/>
        <w:jc w:val="both"/>
      </w:pPr>
      <w:r>
        <w:rPr>
          <w:sz w:val="20"/>
        </w:rPr>
        <w:t xml:space="preserve">17. Абзац утратил силу.</w:t>
      </w:r>
    </w:p>
    <w:bookmarkStart w:id="121" w:name="P121"/>
    <w:bookmarkEnd w:id="121"/>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120" w:tooltip="17. Абзац утратил силу.">
        <w:r>
          <w:rPr>
            <w:sz w:val="20"/>
            <w:color w:val="0000ff"/>
          </w:rPr>
          <w:t xml:space="preserve">абзацем первым</w:t>
        </w:r>
      </w:hyperlink>
      <w:r>
        <w:rPr>
          <w:sz w:val="20"/>
        </w:rPr>
        <w:t xml:space="preserve"> или </w:t>
      </w:r>
      <w:hyperlink w:history="0" w:anchor="P121"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1"/>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1"/>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1"/>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(фамилия, имя, отчество)</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single" w:sz="4"/>
              <w:left w:val="nil"/>
              <w:bottom w:val="nil"/>
              <w:right w:val="nil"/>
            </w:tcBorders>
            <w:vMerge w:val="continue"/>
          </w:tcPr>
          <w:p/>
        </w:tc>
      </w:tr>
      <w:tr>
        <w:tc>
          <w:tcPr>
            <w:tcW w:w="4397" w:type="dxa"/>
            <w:tcBorders>
              <w:top w:val="nil"/>
              <w:left w:val="nil"/>
              <w:bottom w:val="nil"/>
              <w:right w:val="nil"/>
            </w:tcBorders>
          </w:tcPr>
          <w:p>
            <w:pPr>
              <w:pStyle w:val="0"/>
            </w:pPr>
            <w:r>
              <w:rPr>
                <w:sz w:val="20"/>
              </w:rPr>
              <w:t xml:space="preserve">р/с ________________________________</w:t>
            </w:r>
          </w:p>
        </w:tc>
        <w:tc>
          <w:tcPr>
            <w:tcW w:w="340" w:type="dxa"/>
            <w:tcBorders>
              <w:top w:val="nil"/>
              <w:left w:val="nil"/>
              <w:bottom w:val="nil"/>
              <w:right w:val="nil"/>
            </w:tcBorders>
            <w:vMerge w:val="restart"/>
          </w:tcPr>
          <w:p>
            <w:pPr>
              <w:pStyle w:val="0"/>
            </w:pPr>
            <w:r>
              <w:rPr>
                <w:sz w:val="20"/>
              </w:rPr>
            </w:r>
          </w:p>
        </w:tc>
        <w:tc>
          <w:tcPr>
            <w:tcW w:w="4315" w:type="dxa"/>
            <w:tcBorders>
              <w:top w:val="nil"/>
              <w:left w:val="nil"/>
              <w:bottom w:val="nil"/>
              <w:right w:val="nil"/>
            </w:tcBorders>
          </w:tcPr>
          <w:p>
            <w:pPr>
              <w:pStyle w:val="0"/>
            </w:pPr>
            <w:r>
              <w:rPr>
                <w:sz w:val="20"/>
              </w:rPr>
              <w:t xml:space="preserve">ИНН (при наличии)</w:t>
            </w:r>
          </w:p>
        </w:tc>
      </w:tr>
      <w:tr>
        <w:tc>
          <w:tcPr>
            <w:tcW w:w="4397" w:type="dxa"/>
            <w:tcBorders>
              <w:top w:val="nil"/>
              <w:left w:val="nil"/>
              <w:bottom w:val="nil"/>
              <w:right w:val="nil"/>
            </w:tcBorders>
          </w:tcPr>
          <w:p>
            <w:pPr>
              <w:pStyle w:val="0"/>
            </w:pPr>
            <w:r>
              <w:rPr>
                <w:sz w:val="20"/>
              </w:rPr>
              <w:t xml:space="preserve">к/с ________________________________</w:t>
            </w: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single" w:sz="4"/>
              <w:left w:val="nil"/>
              <w:bottom w:val="single" w:sz="4"/>
              <w:right w:val="nil"/>
            </w:tcBorders>
            <w:vMerge w:val="restart"/>
          </w:tcPr>
          <w:p>
            <w:pPr>
              <w:pStyle w:val="0"/>
              <w:jc w:val="center"/>
            </w:pPr>
            <w:r>
              <w:rPr>
                <w:sz w:val="20"/>
              </w:rPr>
              <w:t xml:space="preserve">(должность, фамилия, имя, отчество лица,</w:t>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действующего от имени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84" w:name="P184"/>
    <w:bookmarkEnd w:id="184"/>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185" w:name="P185"/>
    <w:bookmarkEnd w:id="185"/>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186" w:name="P186"/>
    <w:bookmarkEnd w:id="186"/>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187" w:name="P187"/>
    <w:bookmarkEnd w:id="187"/>
    <w:p>
      <w:pPr>
        <w:pStyle w:val="0"/>
        <w:spacing w:before="200" w:line-rule="auto"/>
        <w:ind w:firstLine="540"/>
        <w:jc w:val="both"/>
      </w:pPr>
      <w:r>
        <w:rPr>
          <w:sz w:val="20"/>
        </w:rPr>
        <w:t xml:space="preserve">&lt;4&gt; - &lt;5&gt; Сноски исключены.</w:t>
      </w:r>
    </w:p>
    <w:bookmarkStart w:id="188" w:name="P188"/>
    <w:bookmarkEnd w:id="188"/>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199" w:name="P199"/>
    <w:bookmarkEnd w:id="199"/>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w:t>
      </w:r>
    </w:p>
    <w:p>
      <w:pPr>
        <w:pStyle w:val="1"/>
        <w:jc w:val="both"/>
      </w:pPr>
      <w:r>
        <w:rPr>
          <w:sz w:val="20"/>
        </w:rPr>
        <w:t xml:space="preserve">             не связанных с осуществлением предпринимательской</w:t>
      </w:r>
    </w:p>
    <w:p>
      <w:pPr>
        <w:pStyle w:val="1"/>
        <w:jc w:val="both"/>
      </w:pPr>
      <w:r>
        <w:rPr>
          <w:sz w:val="20"/>
        </w:rPr>
        <w:t xml:space="preserve">              деятельности, и (или)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1502"/>
        <w:gridCol w:w="3175"/>
        <w:gridCol w:w="4365"/>
      </w:tblGrid>
      <w:tr>
        <w:tc>
          <w:tcPr>
            <w:tcW w:w="1502" w:type="dxa"/>
            <w:vAlign w:val="center"/>
            <w:tcBorders>
              <w:top w:val="nil"/>
              <w:left w:val="nil"/>
              <w:bottom w:val="nil"/>
              <w:right w:val="nil"/>
            </w:tcBorders>
          </w:tcPr>
          <w:p>
            <w:pPr>
              <w:pStyle w:val="0"/>
            </w:pPr>
            <w:r>
              <w:rPr>
                <w:sz w:val="20"/>
              </w:rPr>
              <w:t xml:space="preserve">N</w:t>
            </w:r>
          </w:p>
        </w:tc>
        <w:tc>
          <w:tcPr>
            <w:tcW w:w="3175" w:type="dxa"/>
            <w:tcBorders>
              <w:top w:val="nil"/>
              <w:left w:val="nil"/>
              <w:bottom w:val="nil"/>
              <w:right w:val="nil"/>
            </w:tcBorders>
          </w:tcPr>
          <w:p>
            <w:pPr>
              <w:pStyle w:val="0"/>
            </w:pPr>
            <w:r>
              <w:rPr>
                <w:sz w:val="20"/>
              </w:rPr>
            </w:r>
          </w:p>
        </w:tc>
        <w:tc>
          <w:tcPr>
            <w:tcW w:w="4365" w:type="dxa"/>
            <w:vAlign w:val="center"/>
            <w:tcBorders>
              <w:top w:val="nil"/>
              <w:left w:val="nil"/>
              <w:bottom w:val="nil"/>
              <w:right w:val="nil"/>
            </w:tcBorders>
          </w:tcPr>
          <w:p>
            <w:pPr>
              <w:pStyle w:val="0"/>
            </w:pPr>
            <w:r>
              <w:rPr>
                <w:sz w:val="20"/>
              </w:rPr>
              <w:t xml:space="preserve">"__" ______________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 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 в</w:t>
      </w:r>
    </w:p>
    <w:p>
      <w:pPr>
        <w:pStyle w:val="1"/>
        <w:jc w:val="both"/>
      </w:pPr>
      <w:r>
        <w:rPr>
          <w:sz w:val="20"/>
        </w:rPr>
        <w:t xml:space="preserve">                     эксплуатацию по этапам и очередям, указывается</w:t>
      </w:r>
    </w:p>
    <w:p>
      <w:pPr>
        <w:pStyle w:val="1"/>
        <w:jc w:val="both"/>
      </w:pPr>
      <w:r>
        <w:rPr>
          <w:sz w:val="20"/>
        </w:rPr>
        <w:t xml:space="preserve">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286"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 обеспечению технического ограничения выдачи электрической энергии в сеть</w:t>
      </w:r>
    </w:p>
    <w:p>
      <w:pPr>
        <w:pStyle w:val="1"/>
        <w:jc w:val="both"/>
      </w:pPr>
      <w:r>
        <w:rPr>
          <w:sz w:val="20"/>
        </w:rPr>
        <w:t xml:space="preserve">  с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r:id="rId5"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пунктами 25(1)</w:t>
        </w:r>
      </w:hyperlink>
      <w:r>
        <w:rPr>
          <w:sz w:val="20"/>
        </w:rPr>
        <w:t xml:space="preserve">, </w:t>
      </w:r>
      <w:hyperlink w:history="0" r:id="rId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25(6)</w:t>
        </w:r>
      </w:hyperlink>
      <w:r>
        <w:rPr>
          <w:sz w:val="20"/>
        </w:rPr>
        <w:t xml:space="preserve"> и </w:t>
      </w:r>
      <w:hyperlink w:history="0" r:id="rId7"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287"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r>
        <w:rPr>
          <w:sz w:val="20"/>
        </w:rPr>
        <w:t xml:space="preserve"> _______________________________________.</w:t>
      </w:r>
    </w:p>
    <w:p>
      <w:pPr>
        <w:pStyle w:val="1"/>
        <w:jc w:val="both"/>
      </w:pPr>
      <w:r>
        <w:rPr>
          <w:sz w:val="20"/>
        </w:rPr>
        <w:t xml:space="preserve">    15.  Срок  действия  настоящих технических условий составляет _________</w:t>
      </w:r>
    </w:p>
    <w:p>
      <w:pPr>
        <w:pStyle w:val="1"/>
        <w:jc w:val="both"/>
      </w:pPr>
      <w:r>
        <w:rPr>
          <w:sz w:val="20"/>
        </w:rPr>
        <w:t xml:space="preserve">года (лет) </w:t>
      </w:r>
      <w:hyperlink w:history="0" w:anchor="P288"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286" w:name="P286"/>
    <w:bookmarkEnd w:id="286"/>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287" w:name="P287"/>
    <w:bookmarkEnd w:id="287"/>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288" w:name="P288"/>
    <w:bookmarkEnd w:id="288"/>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consultantplus://offline/ref=5280DC4B9638DC54EC3416B1B78D5234E23299BEC28F34214BC5117FFB4494FDBFA601A4322D51A10A54ED706E68EEE381B66482D305EE88HECFA" TargetMode = "External"/>
	<Relationship Id="rId3" Type="http://schemas.openxmlformats.org/officeDocument/2006/relationships/hyperlink" Target="consultantplus://offline/ref=5280DC4B9638DC54EC3416B1B78D5234E53791B3C78C34214BC5117FFB4494FDBFA601A4322D51A10954ED706E68EEE381B66482D305EE88HECFA" TargetMode = "External"/>
	<Relationship Id="rId4" Type="http://schemas.openxmlformats.org/officeDocument/2006/relationships/hyperlink" Target="consultantplus://offline/ref=5280DC4B9638DC54EC3416B1B78D5234E53491B8C18C34214BC5117FFB4494FDADA659A830284DA60D41BB2128H3CFA" TargetMode = "External"/>
	<Relationship Id="rId5" Type="http://schemas.openxmlformats.org/officeDocument/2006/relationships/hyperlink" Target="consultantplus://offline/ref=5280DC4B9638DC54EC3416B1B78D5234E53790B9C98B34214BC5117FFB4494FDBFA601A4322D5BA00A54ED706E68EEE381B66482D305EE88HECFA" TargetMode = "External"/>
	<Relationship Id="rId6" Type="http://schemas.openxmlformats.org/officeDocument/2006/relationships/hyperlink" Target="consultantplus://offline/ref=5280DC4B9638DC54EC3416B1B78D5234E53790B9C98B34214BC5117FFB4494FDBFA601A7342850AD5E0EFD74273FE6FF84AF7A87CD05HECCA" TargetMode = "External"/>
	<Relationship Id="rId7" Type="http://schemas.openxmlformats.org/officeDocument/2006/relationships/hyperlink" Target="consultantplus://offline/ref=5280DC4B9638DC54EC3416B1B78D5234E53790B9C98B34214BC5117FFB4494FDBFA601A734285AAD5E0EFD74273FE6FF84AF7A87CD05HECCA"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dc:title>
  <dcterms:created xsi:type="dcterms:W3CDTF">2022-07-25T00:02:05Z</dcterms:created>
</cp:coreProperties>
</file>