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38" w:rsidRPr="006B1238" w:rsidRDefault="006B1238" w:rsidP="006B1238">
      <w:pPr>
        <w:autoSpaceDE w:val="0"/>
        <w:autoSpaceDN w:val="0"/>
        <w:adjustRightInd w:val="0"/>
        <w:spacing w:after="0" w:line="240" w:lineRule="auto"/>
        <w:jc w:val="center"/>
        <w:outlineLvl w:val="0"/>
        <w:rPr>
          <w:rFonts w:ascii="Times New Roman" w:hAnsi="Times New Roman" w:cs="Times New Roman"/>
          <w:b/>
          <w:sz w:val="36"/>
          <w:szCs w:val="36"/>
        </w:rPr>
      </w:pPr>
      <w:r w:rsidRPr="006B1238">
        <w:rPr>
          <w:rFonts w:ascii="Times New Roman" w:hAnsi="Times New Roman" w:cs="Times New Roman"/>
          <w:b/>
          <w:sz w:val="36"/>
          <w:szCs w:val="36"/>
        </w:rPr>
        <w:t>ПАСПОРТ УСЛУГИ (ПРОЦЕССА) СЕТЕВОЙ ОРГАНИЗАЦИИ</w:t>
      </w:r>
    </w:p>
    <w:p w:rsidR="006B1238" w:rsidRDefault="006B1238" w:rsidP="006B1238">
      <w:pPr>
        <w:autoSpaceDE w:val="0"/>
        <w:autoSpaceDN w:val="0"/>
        <w:adjustRightInd w:val="0"/>
        <w:spacing w:after="0" w:line="240" w:lineRule="auto"/>
        <w:jc w:val="both"/>
        <w:outlineLvl w:val="0"/>
        <w:rPr>
          <w:rFonts w:ascii="Times New Roman" w:hAnsi="Times New Roman" w:cs="Times New Roman"/>
          <w:b/>
        </w:rPr>
      </w:pPr>
    </w:p>
    <w:p w:rsidR="003B764A" w:rsidRPr="003B764A" w:rsidRDefault="001C68AB" w:rsidP="003B764A">
      <w:pPr>
        <w:autoSpaceDE w:val="0"/>
        <w:autoSpaceDN w:val="0"/>
        <w:adjustRightInd w:val="0"/>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b/>
          <w:sz w:val="24"/>
          <w:szCs w:val="24"/>
        </w:rPr>
        <w:t>НАИМЕНОВАНИЕ УСЛУГИ (ПРОЦЕССА)</w:t>
      </w:r>
      <w:r w:rsidR="006B1238" w:rsidRPr="006B1238">
        <w:rPr>
          <w:rFonts w:ascii="Times New Roman" w:hAnsi="Times New Roman" w:cs="Times New Roman"/>
          <w:b/>
          <w:sz w:val="24"/>
          <w:szCs w:val="24"/>
        </w:rPr>
        <w:t xml:space="preserve">: </w:t>
      </w:r>
      <w:r w:rsidR="003B764A" w:rsidRPr="003B764A">
        <w:rPr>
          <w:rFonts w:ascii="Times New Roman" w:hAnsi="Times New Roman" w:cs="Times New Roman"/>
          <w:sz w:val="24"/>
          <w:szCs w:val="24"/>
        </w:rPr>
        <w:t xml:space="preserve">ТЕХНОЛОГИЧЕСКОЕ ПРИСОЕДИНЕНИЕ К ЭЛЕКТРИЧЕСКИМ СЕТЯМ СЕТЕВОЙ ОРГАНИЗАЦИИ энергопринимающих устройств физических лиц, юридических лиц и индивидуальных предпринимателей максимальной мощностью до 150 кВт </w:t>
      </w:r>
      <w:r w:rsidR="00C4797B">
        <w:rPr>
          <w:rFonts w:ascii="Times New Roman" w:hAnsi="Times New Roman" w:cs="Times New Roman"/>
          <w:sz w:val="24"/>
          <w:szCs w:val="24"/>
        </w:rPr>
        <w:t xml:space="preserve">включительно </w:t>
      </w:r>
      <w:r w:rsidR="003B764A" w:rsidRPr="003B764A">
        <w:rPr>
          <w:rFonts w:ascii="Times New Roman" w:hAnsi="Times New Roman" w:cs="Times New Roman"/>
          <w:sz w:val="24"/>
          <w:szCs w:val="24"/>
        </w:rPr>
        <w:t xml:space="preserve">при осуществлении технологического присоединения энергопринимающих устройств таких заявителей на уровне напряжения </w:t>
      </w:r>
      <w:r w:rsidR="008B661F">
        <w:rPr>
          <w:rFonts w:ascii="Times New Roman" w:hAnsi="Times New Roman" w:cs="Times New Roman"/>
          <w:sz w:val="24"/>
          <w:szCs w:val="24"/>
        </w:rPr>
        <w:t xml:space="preserve">свыше </w:t>
      </w:r>
      <w:r w:rsidR="003B764A" w:rsidRPr="003B764A">
        <w:rPr>
          <w:rFonts w:ascii="Times New Roman" w:hAnsi="Times New Roman" w:cs="Times New Roman"/>
          <w:sz w:val="24"/>
          <w:szCs w:val="24"/>
        </w:rPr>
        <w:t>0,4 кВ</w:t>
      </w:r>
      <w:r w:rsidR="003B764A">
        <w:rPr>
          <w:rFonts w:ascii="Times New Roman" w:hAnsi="Times New Roman" w:cs="Times New Roman"/>
          <w:sz w:val="24"/>
          <w:szCs w:val="24"/>
        </w:rPr>
        <w:t>.</w:t>
      </w:r>
    </w:p>
    <w:p w:rsidR="003B764A" w:rsidRPr="00C4797B" w:rsidRDefault="001C68AB" w:rsidP="003A7A62">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b/>
          <w:sz w:val="24"/>
          <w:szCs w:val="24"/>
        </w:rPr>
        <w:t>КРУГ ЗАЯВИТЕЛЕЙ</w:t>
      </w:r>
      <w:r w:rsidR="006B1238" w:rsidRPr="006B1238">
        <w:rPr>
          <w:rFonts w:ascii="Times New Roman" w:hAnsi="Times New Roman" w:cs="Times New Roman"/>
          <w:b/>
          <w:sz w:val="24"/>
          <w:szCs w:val="24"/>
        </w:rPr>
        <w:t>:</w:t>
      </w:r>
      <w:r w:rsidR="006B1238">
        <w:rPr>
          <w:rFonts w:ascii="Times New Roman" w:hAnsi="Times New Roman" w:cs="Times New Roman"/>
          <w:b/>
          <w:sz w:val="24"/>
          <w:szCs w:val="24"/>
        </w:rPr>
        <w:t xml:space="preserve"> </w:t>
      </w:r>
      <w:r w:rsidR="003B764A" w:rsidRPr="003B764A">
        <w:rPr>
          <w:rFonts w:ascii="Times New Roman" w:hAnsi="Times New Roman" w:cs="Times New Roman"/>
          <w:sz w:val="24"/>
          <w:szCs w:val="24"/>
        </w:rPr>
        <w:t>- физическое лицо (далее - заявитель), имеющее намерение осуществить технологическое присоединение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 юридическое лицо или индивидуальный предприниматель (далее – заявитель)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r w:rsidR="00C4797B">
        <w:rPr>
          <w:rFonts w:ascii="Times New Roman" w:hAnsi="Times New Roman" w:cs="Times New Roman"/>
          <w:sz w:val="24"/>
          <w:szCs w:val="24"/>
        </w:rPr>
        <w:t>.</w:t>
      </w:r>
    </w:p>
    <w:p w:rsidR="00A82186" w:rsidRPr="00A82186" w:rsidRDefault="0005452A" w:rsidP="008B661F">
      <w:pPr>
        <w:spacing w:after="0" w:line="240" w:lineRule="auto"/>
        <w:contextualSpacing/>
        <w:jc w:val="both"/>
        <w:outlineLvl w:val="0"/>
        <w:rPr>
          <w:rFonts w:ascii="Times New Roman" w:hAnsi="Times New Roman" w:cs="Times New Roman"/>
          <w:sz w:val="24"/>
          <w:szCs w:val="24"/>
        </w:rPr>
      </w:pPr>
      <w:r w:rsidRPr="0005452A">
        <w:rPr>
          <w:rFonts w:ascii="Times New Roman" w:hAnsi="Times New Roman" w:cs="Times New Roman"/>
          <w:b/>
          <w:sz w:val="24"/>
          <w:szCs w:val="24"/>
        </w:rPr>
        <w:t>РАЗМЕР ПЛАТЫ ЗА ПРЕДОСТАВЛЕНИЕ УСЛУГИ (ПРОЦЕССА) И ОСНОВАНИЕ ЕЕ ВЗИМАНИЯ</w:t>
      </w:r>
      <w:r w:rsidR="006B1238" w:rsidRPr="006B1238">
        <w:rPr>
          <w:rFonts w:ascii="Times New Roman" w:hAnsi="Times New Roman" w:cs="Times New Roman"/>
          <w:b/>
          <w:sz w:val="24"/>
          <w:szCs w:val="24"/>
        </w:rPr>
        <w:t>:</w:t>
      </w:r>
      <w:r w:rsidR="00CB0663">
        <w:rPr>
          <w:rFonts w:ascii="Times New Roman" w:hAnsi="Times New Roman" w:cs="Times New Roman"/>
          <w:b/>
          <w:sz w:val="24"/>
          <w:szCs w:val="24"/>
        </w:rPr>
        <w:t xml:space="preserve"> </w:t>
      </w:r>
      <w:r w:rsidR="008B661F">
        <w:rPr>
          <w:rFonts w:ascii="Times New Roman" w:hAnsi="Times New Roman" w:cs="Times New Roman"/>
          <w:b/>
          <w:sz w:val="24"/>
          <w:szCs w:val="24"/>
        </w:rPr>
        <w:t xml:space="preserve"> </w:t>
      </w:r>
      <w:r w:rsidR="00A82186" w:rsidRPr="00A82186">
        <w:rPr>
          <w:rFonts w:ascii="Times New Roman" w:hAnsi="Times New Roman" w:cs="Times New Roman"/>
          <w:sz w:val="24"/>
          <w:szCs w:val="24"/>
        </w:rPr>
        <w:t>стоимость мероприятий по технологическому присоединению рассчит</w:t>
      </w:r>
      <w:r w:rsidR="008B661F">
        <w:rPr>
          <w:rFonts w:ascii="Times New Roman" w:hAnsi="Times New Roman" w:cs="Times New Roman"/>
          <w:sz w:val="24"/>
          <w:szCs w:val="24"/>
        </w:rPr>
        <w:t xml:space="preserve">ывается </w:t>
      </w:r>
      <w:r w:rsidR="00A82186" w:rsidRPr="00A82186">
        <w:rPr>
          <w:rFonts w:ascii="Times New Roman" w:hAnsi="Times New Roman" w:cs="Times New Roman"/>
          <w:sz w:val="24"/>
          <w:szCs w:val="24"/>
        </w:rPr>
        <w:t>с применением стандартизированных тарифных ставок</w:t>
      </w:r>
      <w:r w:rsidR="008B661F">
        <w:rPr>
          <w:rFonts w:ascii="Times New Roman" w:hAnsi="Times New Roman" w:cs="Times New Roman"/>
          <w:sz w:val="24"/>
          <w:szCs w:val="24"/>
        </w:rPr>
        <w:t>.</w:t>
      </w:r>
    </w:p>
    <w:p w:rsidR="003B764A" w:rsidRPr="003B764A" w:rsidRDefault="0005452A" w:rsidP="00CF1210">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УСЛОВИЯ ОКАЗАНИЯ УСЛУГИ (ПРОЦЕССА)</w:t>
      </w:r>
      <w:r w:rsidR="006B1238" w:rsidRPr="00155175">
        <w:rPr>
          <w:rFonts w:ascii="Times New Roman" w:hAnsi="Times New Roman" w:cs="Times New Roman"/>
          <w:b/>
          <w:sz w:val="24"/>
          <w:szCs w:val="24"/>
        </w:rPr>
        <w:t>:</w:t>
      </w:r>
      <w:r w:rsidR="00AC71EA">
        <w:rPr>
          <w:rFonts w:ascii="Times New Roman" w:hAnsi="Times New Roman" w:cs="Times New Roman"/>
          <w:b/>
          <w:sz w:val="24"/>
          <w:szCs w:val="24"/>
        </w:rPr>
        <w:t xml:space="preserve"> </w:t>
      </w:r>
      <w:r w:rsidR="003B764A" w:rsidRPr="003B764A">
        <w:rPr>
          <w:rFonts w:ascii="Times New Roman" w:hAnsi="Times New Roman" w:cs="Times New Roman"/>
          <w:sz w:val="24"/>
          <w:szCs w:val="24"/>
        </w:rPr>
        <w:t>намерение заявителя присоединить впервые вводимые в эксплуатацию, ранее присоединенные энергопринимающие устройства, максимальная мощность которых увеличивается, а также в случаях,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F07F13" w:rsidRDefault="0005452A" w:rsidP="00CF1210">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РЕЗУЛЬТАТ ОКАЗАНИЯ УСЛУГИ (ПРОЦЕССА):</w:t>
      </w:r>
      <w:r w:rsidR="00E312A1" w:rsidRPr="00E312A1">
        <w:rPr>
          <w:rFonts w:ascii="Times New Roman" w:hAnsi="Times New Roman" w:cs="Times New Roman"/>
          <w:sz w:val="24"/>
          <w:szCs w:val="24"/>
        </w:rPr>
        <w:t xml:space="preserve"> </w:t>
      </w:r>
      <w:r w:rsidR="008B661F">
        <w:rPr>
          <w:rFonts w:ascii="Times New Roman" w:hAnsi="Times New Roman" w:cs="Times New Roman"/>
          <w:sz w:val="24"/>
          <w:szCs w:val="24"/>
        </w:rPr>
        <w:t>технологическое присоединение энергоприниающих устройств заявителя</w:t>
      </w:r>
      <w:r w:rsidR="00F07F13">
        <w:rPr>
          <w:rFonts w:ascii="Times New Roman" w:hAnsi="Times New Roman" w:cs="Times New Roman"/>
          <w:sz w:val="24"/>
          <w:szCs w:val="24"/>
        </w:rPr>
        <w:t>.</w:t>
      </w:r>
    </w:p>
    <w:p w:rsidR="003B764A" w:rsidRPr="007E4E30" w:rsidRDefault="0005452A" w:rsidP="00F1490C">
      <w:pPr>
        <w:pStyle w:val="ConsPlusNormal"/>
        <w:jc w:val="both"/>
        <w:rPr>
          <w:rFonts w:ascii="Times New Roman" w:hAnsi="Times New Roman" w:cs="Times New Roman"/>
        </w:rPr>
      </w:pPr>
      <w:r w:rsidRPr="0005452A">
        <w:rPr>
          <w:rFonts w:ascii="Times New Roman" w:hAnsi="Times New Roman" w:cs="Times New Roman"/>
          <w:b/>
          <w:sz w:val="24"/>
          <w:szCs w:val="24"/>
        </w:rPr>
        <w:t>ОБЩИЙ СРОК ОКАЗАНИЯ УСЛУГИ (ПРОЦЕССА):</w:t>
      </w:r>
      <w:r w:rsidR="00CF1210" w:rsidRPr="00CF1210">
        <w:rPr>
          <w:rFonts w:ascii="Times New Roman" w:hAnsi="Times New Roman" w:cs="Times New Roman"/>
        </w:rPr>
        <w:t xml:space="preserve"> </w:t>
      </w:r>
      <w:r w:rsidR="007E4E30">
        <w:rPr>
          <w:rFonts w:ascii="Times New Roman" w:hAnsi="Times New Roman" w:cs="Times New Roman"/>
        </w:rPr>
        <w:t>В</w:t>
      </w:r>
      <w:r w:rsidR="003B764A" w:rsidRPr="003B764A">
        <w:rPr>
          <w:rFonts w:ascii="Times New Roman" w:hAnsi="Times New Roman" w:cs="Times New Roman"/>
          <w:sz w:val="24"/>
          <w:szCs w:val="24"/>
        </w:rPr>
        <w:t xml:space="preserve">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если от сетевой организации не требуется выполнение работ по строительству (реконструкции) объектов электросетевого</w:t>
      </w:r>
      <w:r w:rsidR="003B764A" w:rsidRPr="003B764A">
        <w:rPr>
          <w:rFonts w:ascii="Times New Roman" w:hAnsi="Times New Roman" w:cs="Times New Roman"/>
          <w:sz w:val="24"/>
          <w:szCs w:val="24"/>
        </w:rPr>
        <w:sym w:font="Symbol" w:char="F02D"/>
      </w:r>
      <w:r w:rsidR="003B764A" w:rsidRPr="003B764A">
        <w:rPr>
          <w:rFonts w:ascii="Times New Roman" w:hAnsi="Times New Roman" w:cs="Times New Roman"/>
          <w:sz w:val="24"/>
          <w:szCs w:val="24"/>
        </w:rPr>
        <w:t xml:space="preserve">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 с даты заключения договора;  в иных случаях – 6 месяцев с даты заключения договора.</w:t>
      </w:r>
      <w:r w:rsidR="003B764A" w:rsidRPr="003B764A">
        <w:rPr>
          <w:rFonts w:ascii="Times New Roman" w:hAnsi="Times New Roman" w:cs="Times New Roman"/>
          <w:sz w:val="24"/>
          <w:szCs w:val="24"/>
        </w:rPr>
        <w:sym w:font="Symbol" w:char="F02D"/>
      </w:r>
      <w:r w:rsidR="003B764A" w:rsidRPr="003B764A">
        <w:rPr>
          <w:rFonts w:ascii="Times New Roman" w:hAnsi="Times New Roman" w:cs="Times New Roman"/>
          <w:sz w:val="24"/>
          <w:szCs w:val="24"/>
        </w:rPr>
        <w:t xml:space="preserve"> При несоблюдении всех вышеуказанных условий - 1 год с даты заключения договора.</w:t>
      </w:r>
    </w:p>
    <w:p w:rsidR="006B1238" w:rsidRPr="006B1238" w:rsidRDefault="0005452A" w:rsidP="003A7A62">
      <w:pPr>
        <w:pStyle w:val="ConsPlusNormal"/>
        <w:jc w:val="both"/>
        <w:rPr>
          <w:rFonts w:ascii="Times New Roman" w:hAnsi="Times New Roman" w:cs="Times New Roman"/>
          <w:b/>
          <w:sz w:val="24"/>
          <w:szCs w:val="24"/>
        </w:rPr>
      </w:pPr>
      <w:r w:rsidRPr="0005452A">
        <w:rPr>
          <w:rFonts w:ascii="Times New Roman" w:hAnsi="Times New Roman" w:cs="Times New Roman"/>
          <w:b/>
          <w:sz w:val="24"/>
          <w:szCs w:val="24"/>
        </w:rPr>
        <w:t xml:space="preserve">СОСТАВ, ПОСЛЕДОВАТЕЛЬНОСТЬ И СРОКИ ОКАЗАНИЯ УСЛУГИ (ПРОЦЕССА):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2310"/>
        <w:gridCol w:w="2481"/>
        <w:gridCol w:w="2833"/>
        <w:gridCol w:w="2277"/>
        <w:gridCol w:w="1972"/>
        <w:gridCol w:w="1996"/>
      </w:tblGrid>
      <w:tr w:rsidR="00FA499B" w:rsidRPr="006B1238" w:rsidTr="005808C6">
        <w:trPr>
          <w:trHeight w:val="911"/>
          <w:tblHeader/>
        </w:trPr>
        <w:tc>
          <w:tcPr>
            <w:tcW w:w="310" w:type="pct"/>
            <w:tcBorders>
              <w:top w:val="single" w:sz="4" w:space="0" w:color="auto"/>
              <w:left w:val="single" w:sz="4" w:space="0" w:color="auto"/>
              <w:bottom w:val="single" w:sz="4" w:space="0" w:color="auto"/>
              <w:right w:val="single" w:sz="4" w:space="0" w:color="auto"/>
            </w:tcBorders>
            <w:vAlign w:val="center"/>
          </w:tcPr>
          <w:p w:rsidR="00511816" w:rsidRPr="00161834" w:rsidRDefault="00511816" w:rsidP="00161834">
            <w:pPr>
              <w:autoSpaceDE w:val="0"/>
              <w:autoSpaceDN w:val="0"/>
              <w:adjustRightInd w:val="0"/>
              <w:jc w:val="center"/>
              <w:outlineLvl w:val="0"/>
              <w:rPr>
                <w:rFonts w:ascii="Times New Roman" w:hAnsi="Times New Roman" w:cs="Times New Roman"/>
                <w:b/>
                <w:sz w:val="28"/>
                <w:szCs w:val="28"/>
              </w:rPr>
            </w:pPr>
            <w:bookmarkStart w:id="0" w:name="_GoBack" w:colFirst="0" w:colLast="6"/>
            <w:r>
              <w:rPr>
                <w:rFonts w:ascii="Times New Roman" w:hAnsi="Times New Roman" w:cs="Times New Roman"/>
                <w:b/>
                <w:sz w:val="28"/>
                <w:szCs w:val="28"/>
                <w:lang w:val="en-US"/>
              </w:rPr>
              <w:t>N</w:t>
            </w:r>
            <w:r>
              <w:rPr>
                <w:rFonts w:ascii="Times New Roman" w:hAnsi="Times New Roman" w:cs="Times New Roman"/>
                <w:b/>
                <w:sz w:val="28"/>
                <w:szCs w:val="28"/>
              </w:rPr>
              <w:t xml:space="preserve"> этапа</w:t>
            </w:r>
          </w:p>
        </w:tc>
        <w:tc>
          <w:tcPr>
            <w:tcW w:w="781"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161834">
            <w:pPr>
              <w:autoSpaceDE w:val="0"/>
              <w:autoSpaceDN w:val="0"/>
              <w:adjustRightInd w:val="0"/>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Информация об э</w:t>
            </w:r>
            <w:r w:rsidRPr="00076BE2">
              <w:rPr>
                <w:rFonts w:ascii="Times New Roman" w:hAnsi="Times New Roman" w:cs="Times New Roman"/>
                <w:b/>
                <w:color w:val="000000"/>
                <w:sz w:val="28"/>
                <w:szCs w:val="28"/>
              </w:rPr>
              <w:t>тап</w:t>
            </w:r>
            <w:r>
              <w:rPr>
                <w:rFonts w:ascii="Times New Roman" w:hAnsi="Times New Roman" w:cs="Times New Roman"/>
                <w:b/>
                <w:color w:val="000000"/>
                <w:sz w:val="28"/>
                <w:szCs w:val="28"/>
              </w:rPr>
              <w:t>е</w:t>
            </w:r>
          </w:p>
        </w:tc>
        <w:tc>
          <w:tcPr>
            <w:tcW w:w="839"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Pr>
                <w:rFonts w:ascii="Times New Roman" w:hAnsi="Times New Roman" w:cs="Times New Roman"/>
                <w:b/>
                <w:sz w:val="28"/>
                <w:szCs w:val="28"/>
              </w:rPr>
              <w:t>Условие этапа</w:t>
            </w:r>
          </w:p>
        </w:tc>
        <w:tc>
          <w:tcPr>
            <w:tcW w:w="958"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Содержание</w:t>
            </w:r>
          </w:p>
        </w:tc>
        <w:tc>
          <w:tcPr>
            <w:tcW w:w="770"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D153B8">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Форма представления</w:t>
            </w:r>
          </w:p>
        </w:tc>
        <w:tc>
          <w:tcPr>
            <w:tcW w:w="667"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00E6C">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Срок исполнения</w:t>
            </w:r>
          </w:p>
        </w:tc>
        <w:tc>
          <w:tcPr>
            <w:tcW w:w="675"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Ссылка</w:t>
            </w:r>
          </w:p>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на нормативный правовой акт</w:t>
            </w:r>
          </w:p>
        </w:tc>
      </w:tr>
      <w:bookmarkEnd w:id="0"/>
      <w:tr w:rsidR="0056020B" w:rsidRPr="006B1238" w:rsidTr="007E67F4">
        <w:trPr>
          <w:trHeight w:val="418"/>
        </w:trPr>
        <w:tc>
          <w:tcPr>
            <w:tcW w:w="310" w:type="pct"/>
            <w:tcBorders>
              <w:top w:val="single" w:sz="4" w:space="0" w:color="auto"/>
              <w:left w:val="single" w:sz="4" w:space="0" w:color="auto"/>
              <w:right w:val="single" w:sz="4" w:space="0" w:color="auto"/>
            </w:tcBorders>
          </w:tcPr>
          <w:p w:rsidR="0056020B" w:rsidRPr="00A54668"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1.</w:t>
            </w:r>
          </w:p>
        </w:tc>
        <w:tc>
          <w:tcPr>
            <w:tcW w:w="781" w:type="pct"/>
            <w:vMerge w:val="restart"/>
            <w:tcBorders>
              <w:top w:val="single" w:sz="4" w:space="0" w:color="auto"/>
              <w:left w:val="single" w:sz="4" w:space="0" w:color="auto"/>
              <w:right w:val="single" w:sz="4" w:space="0" w:color="auto"/>
            </w:tcBorders>
          </w:tcPr>
          <w:p w:rsidR="0056020B" w:rsidRPr="00A54668" w:rsidRDefault="0056020B" w:rsidP="00A54668">
            <w:pPr>
              <w:autoSpaceDE w:val="0"/>
              <w:autoSpaceDN w:val="0"/>
              <w:adjustRightInd w:val="0"/>
              <w:spacing w:after="0" w:line="240" w:lineRule="auto"/>
              <w:jc w:val="both"/>
              <w:outlineLvl w:val="0"/>
              <w:rPr>
                <w:rFonts w:ascii="Times New Roman" w:hAnsi="Times New Roman" w:cs="Times New Roman"/>
                <w:sz w:val="18"/>
                <w:szCs w:val="18"/>
              </w:rPr>
            </w:pPr>
            <w:r w:rsidRPr="003B764A">
              <w:rPr>
                <w:rFonts w:ascii="Times New Roman" w:hAnsi="Times New Roman" w:cs="Times New Roman"/>
                <w:sz w:val="18"/>
                <w:szCs w:val="18"/>
              </w:rPr>
              <w:t>Заключение договора об осуществлении техноло</w:t>
            </w:r>
            <w:r w:rsidRPr="003B764A">
              <w:rPr>
                <w:rFonts w:ascii="Times New Roman" w:hAnsi="Times New Roman" w:cs="Times New Roman"/>
                <w:sz w:val="18"/>
                <w:szCs w:val="18"/>
              </w:rPr>
              <w:lastRenderedPageBreak/>
              <w:t>гического присоединения к электрическим сетям, включая подачу заявки на технологическое присоединение и оплату счёта за оказание услуги.</w:t>
            </w:r>
          </w:p>
        </w:tc>
        <w:tc>
          <w:tcPr>
            <w:tcW w:w="839" w:type="pct"/>
            <w:tcBorders>
              <w:top w:val="single" w:sz="4" w:space="0" w:color="auto"/>
              <w:left w:val="single" w:sz="4" w:space="0" w:color="auto"/>
              <w:bottom w:val="single" w:sz="4" w:space="0" w:color="auto"/>
              <w:right w:val="single" w:sz="4" w:space="0" w:color="auto"/>
            </w:tcBorders>
          </w:tcPr>
          <w:p w:rsidR="0056020B" w:rsidRPr="00A54668" w:rsidRDefault="0056020B" w:rsidP="00FF2C6B">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lastRenderedPageBreak/>
              <w:t xml:space="preserve">Направление заявки в сетевую организацию, объекты </w:t>
            </w:r>
            <w:r w:rsidRPr="003B764A">
              <w:rPr>
                <w:rFonts w:ascii="Times New Roman" w:hAnsi="Times New Roman" w:cs="Times New Roman"/>
                <w:sz w:val="18"/>
                <w:szCs w:val="18"/>
              </w:rPr>
              <w:lastRenderedPageBreak/>
              <w:t>электросетевого хозяйства которой расположены на наименьшем расстоянии от границ участка заявителя</w:t>
            </w:r>
          </w:p>
        </w:tc>
        <w:tc>
          <w:tcPr>
            <w:tcW w:w="958" w:type="pct"/>
            <w:tcBorders>
              <w:top w:val="single" w:sz="4" w:space="0" w:color="auto"/>
              <w:left w:val="single" w:sz="4" w:space="0" w:color="auto"/>
              <w:bottom w:val="single" w:sz="4" w:space="0" w:color="auto"/>
              <w:right w:val="single" w:sz="4" w:space="0" w:color="auto"/>
            </w:tcBorders>
          </w:tcPr>
          <w:p w:rsidR="0056020B" w:rsidRPr="00A54668" w:rsidRDefault="0056020B" w:rsidP="00362FED">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lastRenderedPageBreak/>
              <w:t>1.1. Заявитель направляет заявку на технологическое присоедине</w:t>
            </w:r>
            <w:r w:rsidRPr="003B764A">
              <w:rPr>
                <w:rFonts w:ascii="Times New Roman" w:hAnsi="Times New Roman" w:cs="Times New Roman"/>
                <w:sz w:val="18"/>
                <w:szCs w:val="18"/>
              </w:rPr>
              <w:lastRenderedPageBreak/>
              <w:t>ние</w:t>
            </w:r>
          </w:p>
        </w:tc>
        <w:tc>
          <w:tcPr>
            <w:tcW w:w="770" w:type="pct"/>
            <w:tcBorders>
              <w:top w:val="single" w:sz="4" w:space="0" w:color="auto"/>
              <w:left w:val="single" w:sz="4" w:space="0" w:color="auto"/>
              <w:bottom w:val="single" w:sz="4" w:space="0" w:color="auto"/>
              <w:right w:val="single" w:sz="4" w:space="0" w:color="auto"/>
            </w:tcBorders>
          </w:tcPr>
          <w:p w:rsidR="0056020B" w:rsidRPr="00A54668" w:rsidRDefault="0056020B" w:rsidP="00005DF4">
            <w:pPr>
              <w:autoSpaceDE w:val="0"/>
              <w:autoSpaceDN w:val="0"/>
              <w:adjustRightInd w:val="0"/>
              <w:spacing w:after="0" w:line="240" w:lineRule="auto"/>
              <w:ind w:left="-114"/>
              <w:jc w:val="both"/>
              <w:outlineLvl w:val="0"/>
              <w:rPr>
                <w:rFonts w:ascii="Times New Roman" w:hAnsi="Times New Roman" w:cs="Times New Roman"/>
                <w:sz w:val="18"/>
                <w:szCs w:val="18"/>
              </w:rPr>
            </w:pPr>
            <w:r w:rsidRPr="003B764A">
              <w:rPr>
                <w:rFonts w:ascii="Times New Roman" w:hAnsi="Times New Roman" w:cs="Times New Roman"/>
                <w:sz w:val="18"/>
                <w:szCs w:val="18"/>
              </w:rPr>
              <w:lastRenderedPageBreak/>
              <w:t>Электронная</w:t>
            </w:r>
            <w:r w:rsidR="00005DF4">
              <w:rPr>
                <w:rFonts w:ascii="Times New Roman" w:hAnsi="Times New Roman" w:cs="Times New Roman"/>
                <w:sz w:val="18"/>
                <w:szCs w:val="18"/>
              </w:rPr>
              <w:t>.</w:t>
            </w:r>
            <w:r w:rsidRPr="003B764A">
              <w:rPr>
                <w:rFonts w:ascii="Times New Roman" w:hAnsi="Times New Roman" w:cs="Times New Roman"/>
                <w:sz w:val="18"/>
                <w:szCs w:val="18"/>
              </w:rPr>
              <w:t xml:space="preserve"> В случае отсутствия у заявителя </w:t>
            </w:r>
            <w:r w:rsidRPr="003B764A">
              <w:rPr>
                <w:rFonts w:ascii="Times New Roman" w:hAnsi="Times New Roman" w:cs="Times New Roman"/>
                <w:sz w:val="18"/>
                <w:szCs w:val="18"/>
              </w:rPr>
              <w:lastRenderedPageBreak/>
              <w:t>личного кабинета потребителя сетевая организация регистрирует личный кабинет и сообщает заявителю порядок доступа к личному кабинету потре</w:t>
            </w:r>
            <w:r w:rsidR="00005DF4">
              <w:rPr>
                <w:rFonts w:ascii="Times New Roman" w:hAnsi="Times New Roman" w:cs="Times New Roman"/>
                <w:sz w:val="18"/>
                <w:szCs w:val="18"/>
              </w:rPr>
              <w:t>б</w:t>
            </w:r>
            <w:r w:rsidRPr="003B764A">
              <w:rPr>
                <w:rFonts w:ascii="Times New Roman" w:hAnsi="Times New Roman" w:cs="Times New Roman"/>
                <w:sz w:val="18"/>
                <w:szCs w:val="18"/>
              </w:rPr>
              <w:t>ителя, включая получение первоначального</w:t>
            </w:r>
            <w:r>
              <w:rPr>
                <w:rFonts w:ascii="Times New Roman" w:hAnsi="Times New Roman" w:cs="Times New Roman"/>
                <w:sz w:val="18"/>
                <w:szCs w:val="18"/>
              </w:rPr>
              <w:t xml:space="preserve"> </w:t>
            </w:r>
            <w:r w:rsidRPr="003B764A">
              <w:rPr>
                <w:rFonts w:ascii="Times New Roman" w:hAnsi="Times New Roman" w:cs="Times New Roman"/>
                <w:sz w:val="18"/>
                <w:szCs w:val="18"/>
              </w:rPr>
              <w:t>доступа к личному кабинету, регистрацию и авторизацию потребителя, В случае необходимости сетевая организация обеспечивает доступ к личному кабинету потребителя на безвозмездной основе</w:t>
            </w:r>
          </w:p>
        </w:tc>
        <w:tc>
          <w:tcPr>
            <w:tcW w:w="667" w:type="pct"/>
            <w:tcBorders>
              <w:top w:val="single" w:sz="4" w:space="0" w:color="auto"/>
              <w:left w:val="single" w:sz="4" w:space="0" w:color="auto"/>
              <w:bottom w:val="single" w:sz="4" w:space="0" w:color="auto"/>
              <w:right w:val="single" w:sz="4" w:space="0" w:color="auto"/>
            </w:tcBorders>
          </w:tcPr>
          <w:p w:rsidR="0056020B" w:rsidRPr="00A54668" w:rsidRDefault="0056020B" w:rsidP="00E312A1">
            <w:pPr>
              <w:spacing w:after="0" w:line="240" w:lineRule="auto"/>
              <w:jc w:val="center"/>
              <w:rPr>
                <w:rFonts w:ascii="Times New Roman" w:hAnsi="Times New Roman" w:cs="Times New Roman"/>
                <w:sz w:val="18"/>
                <w:szCs w:val="18"/>
              </w:rPr>
            </w:pPr>
            <w:r w:rsidRPr="003B764A">
              <w:rPr>
                <w:rFonts w:ascii="Times New Roman" w:hAnsi="Times New Roman" w:cs="Times New Roman"/>
                <w:sz w:val="18"/>
                <w:szCs w:val="18"/>
              </w:rPr>
              <w:lastRenderedPageBreak/>
              <w:t>Не ограничен</w:t>
            </w:r>
          </w:p>
        </w:tc>
        <w:tc>
          <w:tcPr>
            <w:tcW w:w="675" w:type="pct"/>
            <w:tcBorders>
              <w:top w:val="single" w:sz="4" w:space="0" w:color="auto"/>
              <w:left w:val="single" w:sz="4" w:space="0" w:color="auto"/>
              <w:right w:val="single" w:sz="4" w:space="0" w:color="auto"/>
            </w:tcBorders>
          </w:tcPr>
          <w:p w:rsidR="0056020B" w:rsidRPr="00A54668" w:rsidRDefault="0056020B" w:rsidP="003B764A">
            <w:pPr>
              <w:autoSpaceDE w:val="0"/>
              <w:autoSpaceDN w:val="0"/>
              <w:adjustRightInd w:val="0"/>
              <w:spacing w:after="0" w:line="240" w:lineRule="auto"/>
              <w:jc w:val="center"/>
              <w:outlineLvl w:val="0"/>
              <w:rPr>
                <w:rFonts w:ascii="Times New Roman" w:hAnsi="Times New Roman" w:cs="Times New Roman"/>
                <w:sz w:val="18"/>
                <w:szCs w:val="18"/>
              </w:rPr>
            </w:pPr>
            <w:r w:rsidRPr="003B764A">
              <w:rPr>
                <w:rFonts w:ascii="Times New Roman" w:hAnsi="Times New Roman" w:cs="Times New Roman"/>
                <w:sz w:val="18"/>
                <w:szCs w:val="18"/>
              </w:rPr>
              <w:t>Пункты 8-10, 12(1), 14, 103-109 Правил тех</w:t>
            </w:r>
            <w:r w:rsidRPr="003B764A">
              <w:rPr>
                <w:rFonts w:ascii="Times New Roman" w:hAnsi="Times New Roman" w:cs="Times New Roman"/>
                <w:sz w:val="18"/>
                <w:szCs w:val="18"/>
              </w:rPr>
              <w:lastRenderedPageBreak/>
              <w:t>нологического присоединения</w:t>
            </w:r>
            <w:r>
              <w:rPr>
                <w:rFonts w:ascii="Times New Roman" w:hAnsi="Times New Roman" w:cs="Times New Roman"/>
                <w:sz w:val="18"/>
                <w:szCs w:val="18"/>
              </w:rPr>
              <w:t>, утв. ПП РФ № 861 от 27.12.2004г.</w:t>
            </w:r>
          </w:p>
        </w:tc>
      </w:tr>
      <w:tr w:rsidR="0056020B" w:rsidRPr="006B1238" w:rsidTr="00A26575">
        <w:trPr>
          <w:trHeight w:val="1266"/>
        </w:trPr>
        <w:tc>
          <w:tcPr>
            <w:tcW w:w="310" w:type="pct"/>
            <w:tcBorders>
              <w:left w:val="single" w:sz="4" w:space="0" w:color="auto"/>
              <w:bottom w:val="single" w:sz="4" w:space="0" w:color="auto"/>
              <w:right w:val="single" w:sz="4" w:space="0" w:color="auto"/>
            </w:tcBorders>
          </w:tcPr>
          <w:p w:rsidR="0056020B" w:rsidRPr="006A17E4"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6A17E4" w:rsidRDefault="0056020B" w:rsidP="00715C2D">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A17E4" w:rsidRDefault="0056020B" w:rsidP="00005DF4">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При отсутствии сведений и документов, указанных в пунктах 9, 10 и 12(1)</w:t>
            </w:r>
            <w:r w:rsidR="00005DF4">
              <w:rPr>
                <w:rFonts w:ascii="Times New Roman" w:hAnsi="Times New Roman" w:cs="Times New Roman"/>
                <w:sz w:val="18"/>
                <w:szCs w:val="18"/>
              </w:rPr>
              <w:t>, 13(2) – 13(5) и 14</w:t>
            </w:r>
            <w:r w:rsidRPr="003B764A">
              <w:rPr>
                <w:rFonts w:ascii="Times New Roman" w:hAnsi="Times New Roman" w:cs="Times New Roman"/>
                <w:sz w:val="18"/>
                <w:szCs w:val="18"/>
              </w:rPr>
              <w:t xml:space="preserve"> Правил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56020B" w:rsidRPr="006A17E4" w:rsidRDefault="0056020B" w:rsidP="00715C2D">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1.2. Сетевая организация направляет заявителю уведомление содержащее указание на сведения (документы), которые в соответствии с Правилами ТП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уведомления представить недостающие сведения и (или) документы и приостанавливает рассмотрение заявки до получения недостающих сведений и документов</w:t>
            </w:r>
          </w:p>
        </w:tc>
        <w:tc>
          <w:tcPr>
            <w:tcW w:w="770" w:type="pct"/>
            <w:tcBorders>
              <w:top w:val="single" w:sz="4" w:space="0" w:color="auto"/>
              <w:left w:val="single" w:sz="4" w:space="0" w:color="auto"/>
              <w:bottom w:val="single" w:sz="4" w:space="0" w:color="auto"/>
              <w:right w:val="single" w:sz="4" w:space="0" w:color="auto"/>
            </w:tcBorders>
          </w:tcPr>
          <w:p w:rsidR="0056020B" w:rsidRPr="006A17E4" w:rsidRDefault="0056020B" w:rsidP="00A2061C">
            <w:pPr>
              <w:pStyle w:val="ConsPlusNormal"/>
              <w:ind w:firstLine="708"/>
              <w:jc w:val="both"/>
              <w:rPr>
                <w:rFonts w:ascii="Times New Roman" w:hAnsi="Times New Roman" w:cs="Times New Roman"/>
                <w:sz w:val="18"/>
                <w:szCs w:val="18"/>
              </w:rPr>
            </w:pPr>
            <w:r>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56020B" w:rsidRPr="006A17E4" w:rsidRDefault="0056020B" w:rsidP="00B72BE1">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3 рабочих дня со дня получения заявки</w:t>
            </w:r>
          </w:p>
        </w:tc>
        <w:tc>
          <w:tcPr>
            <w:tcW w:w="675" w:type="pct"/>
            <w:tcBorders>
              <w:left w:val="single" w:sz="4" w:space="0" w:color="auto"/>
              <w:bottom w:val="single" w:sz="4" w:space="0" w:color="auto"/>
              <w:right w:val="single" w:sz="4" w:space="0" w:color="auto"/>
            </w:tcBorders>
          </w:tcPr>
          <w:p w:rsidR="0056020B" w:rsidRPr="006A17E4" w:rsidRDefault="0056020B" w:rsidP="00005DF4">
            <w:pPr>
              <w:autoSpaceDE w:val="0"/>
              <w:autoSpaceDN w:val="0"/>
              <w:adjustRightInd w:val="0"/>
              <w:spacing w:after="0" w:line="240" w:lineRule="auto"/>
              <w:jc w:val="center"/>
              <w:outlineLvl w:val="0"/>
              <w:rPr>
                <w:rFonts w:ascii="Times New Roman" w:hAnsi="Times New Roman" w:cs="Times New Roman"/>
                <w:sz w:val="18"/>
                <w:szCs w:val="18"/>
              </w:rPr>
            </w:pPr>
            <w:r w:rsidRPr="003B764A">
              <w:rPr>
                <w:rFonts w:ascii="Times New Roman" w:hAnsi="Times New Roman" w:cs="Times New Roman"/>
                <w:sz w:val="18"/>
                <w:szCs w:val="18"/>
              </w:rPr>
              <w:t>Пункт 15 Правил технологического присоединения</w:t>
            </w:r>
            <w:r>
              <w:rPr>
                <w:rFonts w:ascii="Times New Roman" w:hAnsi="Times New Roman" w:cs="Times New Roman"/>
                <w:sz w:val="18"/>
                <w:szCs w:val="18"/>
              </w:rPr>
              <w:t>, утв. ПП РФ № 861 от 27.12.2004г.</w:t>
            </w:r>
          </w:p>
        </w:tc>
      </w:tr>
      <w:tr w:rsidR="0056020B" w:rsidRPr="006B1238" w:rsidTr="00A26575">
        <w:trPr>
          <w:trHeight w:val="843"/>
        </w:trPr>
        <w:tc>
          <w:tcPr>
            <w:tcW w:w="310" w:type="pct"/>
            <w:tcBorders>
              <w:top w:val="single" w:sz="4" w:space="0" w:color="auto"/>
              <w:left w:val="single" w:sz="4" w:space="0" w:color="auto"/>
              <w:bottom w:val="single" w:sz="4" w:space="0" w:color="auto"/>
              <w:right w:val="single" w:sz="4" w:space="0" w:color="auto"/>
            </w:tcBorders>
          </w:tcPr>
          <w:p w:rsidR="0056020B" w:rsidRPr="006A17E4"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bottom w:val="single" w:sz="4" w:space="0" w:color="auto"/>
              <w:right w:val="single" w:sz="4" w:space="0" w:color="auto"/>
            </w:tcBorders>
          </w:tcPr>
          <w:p w:rsidR="0056020B" w:rsidRPr="006A17E4" w:rsidRDefault="0056020B" w:rsidP="007E67F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Непредставление заявителем недостающих документов и сведений в течение 20 рабочих дней со дня получения уведомления</w:t>
            </w:r>
          </w:p>
        </w:tc>
        <w:tc>
          <w:tcPr>
            <w:tcW w:w="958"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1.3. Аннулирование заявки и уведомление об этом заявителя</w:t>
            </w:r>
          </w:p>
        </w:tc>
        <w:tc>
          <w:tcPr>
            <w:tcW w:w="770" w:type="pct"/>
            <w:tcBorders>
              <w:top w:val="single" w:sz="4" w:space="0" w:color="auto"/>
              <w:left w:val="single" w:sz="4" w:space="0" w:color="auto"/>
              <w:bottom w:val="single" w:sz="4" w:space="0" w:color="auto"/>
              <w:right w:val="single" w:sz="4" w:space="0" w:color="auto"/>
            </w:tcBorders>
          </w:tcPr>
          <w:p w:rsidR="0056020B" w:rsidRPr="006A17E4" w:rsidRDefault="0056020B" w:rsidP="00AB6676">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3 рабочих дня со дня принятия решения об аннулировании заявки</w:t>
            </w:r>
          </w:p>
        </w:tc>
        <w:tc>
          <w:tcPr>
            <w:tcW w:w="675" w:type="pct"/>
            <w:tcBorders>
              <w:top w:val="single" w:sz="4" w:space="0" w:color="auto"/>
              <w:left w:val="single" w:sz="4" w:space="0" w:color="auto"/>
              <w:bottom w:val="single" w:sz="4" w:space="0" w:color="auto"/>
              <w:right w:val="single" w:sz="4" w:space="0" w:color="auto"/>
            </w:tcBorders>
          </w:tcPr>
          <w:p w:rsidR="0056020B" w:rsidRPr="006A17E4" w:rsidRDefault="0056020B" w:rsidP="007E67F4">
            <w:pPr>
              <w:autoSpaceDE w:val="0"/>
              <w:autoSpaceDN w:val="0"/>
              <w:adjustRightInd w:val="0"/>
              <w:spacing w:after="0" w:line="240" w:lineRule="auto"/>
              <w:outlineLvl w:val="0"/>
              <w:rPr>
                <w:rFonts w:ascii="Times New Roman" w:hAnsi="Times New Roman" w:cs="Times New Roman"/>
                <w:sz w:val="18"/>
                <w:szCs w:val="18"/>
              </w:rPr>
            </w:pPr>
          </w:p>
        </w:tc>
      </w:tr>
      <w:tr w:rsidR="00FA499B" w:rsidRPr="006B1238" w:rsidTr="007E67F4">
        <w:trPr>
          <w:trHeight w:val="618"/>
        </w:trPr>
        <w:tc>
          <w:tcPr>
            <w:tcW w:w="310" w:type="pct"/>
            <w:tcBorders>
              <w:top w:val="single" w:sz="4" w:space="0" w:color="auto"/>
              <w:left w:val="single" w:sz="4" w:space="0" w:color="auto"/>
              <w:bottom w:val="single" w:sz="4" w:space="0" w:color="auto"/>
              <w:right w:val="single" w:sz="4" w:space="0" w:color="auto"/>
            </w:tcBorders>
          </w:tcPr>
          <w:p w:rsidR="00511816" w:rsidRPr="006A17E4" w:rsidRDefault="00511816" w:rsidP="00500E6C">
            <w:pPr>
              <w:autoSpaceDE w:val="0"/>
              <w:autoSpaceDN w:val="0"/>
              <w:adjustRightInd w:val="0"/>
              <w:jc w:val="center"/>
              <w:outlineLvl w:val="0"/>
              <w:rPr>
                <w:rFonts w:ascii="Times New Roman" w:hAnsi="Times New Roman" w:cs="Times New Roman"/>
                <w:sz w:val="18"/>
                <w:szCs w:val="18"/>
              </w:rPr>
            </w:pPr>
          </w:p>
        </w:tc>
        <w:tc>
          <w:tcPr>
            <w:tcW w:w="781" w:type="pct"/>
            <w:tcBorders>
              <w:top w:val="single" w:sz="4" w:space="0" w:color="auto"/>
              <w:left w:val="single" w:sz="4" w:space="0" w:color="auto"/>
              <w:bottom w:val="single" w:sz="4" w:space="0" w:color="auto"/>
              <w:right w:val="single" w:sz="4" w:space="0" w:color="auto"/>
            </w:tcBorders>
          </w:tcPr>
          <w:p w:rsidR="00511816" w:rsidRPr="006A17E4" w:rsidRDefault="00511816" w:rsidP="00FA499B">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11816" w:rsidRPr="006A17E4" w:rsidRDefault="00511816" w:rsidP="00DF5F91">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11816" w:rsidRPr="006A17E4" w:rsidRDefault="00A2061C" w:rsidP="00DF5F91">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1.4. Направление сетевой организацией в адрес субъекта розничного рынка, указанного в заявке, с которым заявитель намеревается заключить договор, обеспечивающий продажу электрической энергии (мощности) на рознич</w:t>
            </w:r>
            <w:r w:rsidRPr="00A2061C">
              <w:rPr>
                <w:rFonts w:ascii="Times New Roman" w:hAnsi="Times New Roman" w:cs="Times New Roman"/>
                <w:sz w:val="18"/>
                <w:szCs w:val="18"/>
              </w:rPr>
              <w:lastRenderedPageBreak/>
              <w:t>ном рынке, копию заявки, а также копии документов, прилагаемых к заявке</w:t>
            </w:r>
          </w:p>
        </w:tc>
        <w:tc>
          <w:tcPr>
            <w:tcW w:w="770" w:type="pct"/>
            <w:tcBorders>
              <w:top w:val="single" w:sz="4" w:space="0" w:color="auto"/>
              <w:left w:val="single" w:sz="4" w:space="0" w:color="auto"/>
              <w:bottom w:val="single" w:sz="4" w:space="0" w:color="auto"/>
              <w:right w:val="single" w:sz="4" w:space="0" w:color="auto"/>
            </w:tcBorders>
          </w:tcPr>
          <w:p w:rsidR="00511816" w:rsidRPr="006A17E4" w:rsidRDefault="00A2061C" w:rsidP="0017742D">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lastRenderedPageBreak/>
              <w:t>Электронная</w:t>
            </w:r>
          </w:p>
        </w:tc>
        <w:tc>
          <w:tcPr>
            <w:tcW w:w="667" w:type="pct"/>
            <w:tcBorders>
              <w:top w:val="single" w:sz="4" w:space="0" w:color="auto"/>
              <w:left w:val="single" w:sz="4" w:space="0" w:color="auto"/>
              <w:bottom w:val="single" w:sz="4" w:space="0" w:color="auto"/>
              <w:right w:val="single" w:sz="4" w:space="0" w:color="auto"/>
            </w:tcBorders>
          </w:tcPr>
          <w:p w:rsidR="00511816" w:rsidRPr="00B72C78" w:rsidRDefault="00A2061C" w:rsidP="00D36E6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 позднее 2 рабочих дней со дня поступления заявки</w:t>
            </w:r>
          </w:p>
        </w:tc>
        <w:tc>
          <w:tcPr>
            <w:tcW w:w="675" w:type="pct"/>
            <w:tcBorders>
              <w:top w:val="single" w:sz="4" w:space="0" w:color="auto"/>
              <w:left w:val="single" w:sz="4" w:space="0" w:color="auto"/>
              <w:bottom w:val="single" w:sz="4" w:space="0" w:color="auto"/>
              <w:right w:val="single" w:sz="4" w:space="0" w:color="auto"/>
            </w:tcBorders>
          </w:tcPr>
          <w:p w:rsidR="00511816" w:rsidRPr="006A17E4" w:rsidRDefault="00F039BF" w:rsidP="00F039BF">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п.107 </w:t>
            </w:r>
            <w:r w:rsidR="00A2061C" w:rsidRPr="00A2061C">
              <w:rPr>
                <w:rFonts w:ascii="Times New Roman" w:hAnsi="Times New Roman" w:cs="Times New Roman"/>
                <w:sz w:val="18"/>
                <w:szCs w:val="18"/>
              </w:rPr>
              <w:t>Правил ТП</w:t>
            </w:r>
          </w:p>
        </w:tc>
      </w:tr>
      <w:tr w:rsidR="0056020B" w:rsidRPr="006B1238" w:rsidTr="00F039BF">
        <w:trPr>
          <w:trHeight w:val="843"/>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val="restart"/>
            <w:tcBorders>
              <w:left w:val="single" w:sz="4" w:space="0" w:color="auto"/>
              <w:right w:val="single" w:sz="4" w:space="0" w:color="auto"/>
            </w:tcBorders>
          </w:tcPr>
          <w:p w:rsidR="0056020B" w:rsidRPr="00FA499B" w:rsidRDefault="0056020B" w:rsidP="00FA499B">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75315" w:rsidRDefault="0056020B" w:rsidP="009D3D72">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Заявка, соответствующая Правилам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56020B" w:rsidRPr="00675315" w:rsidRDefault="0056020B" w:rsidP="00F039BF">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 xml:space="preserve">1.5 Размещение сетевой организацией в Личном кабинете заявителя: - условий типового договора об осуществлении технологического присоединения к электрическим сетям; - </w:t>
            </w:r>
            <w:r w:rsidR="00F039BF" w:rsidRPr="00F039BF">
              <w:rPr>
                <w:rFonts w:ascii="Times New Roman" w:hAnsi="Times New Roman" w:cs="Times New Roman"/>
                <w:sz w:val="18"/>
                <w:szCs w:val="18"/>
              </w:rPr>
              <w:t>подписанные со стороны сетевой организации технические условия, содержащие перечень мероприятий по технологическому присоединению в соответствии с пунктами 25(1), 25(6) и 25(7) настоящих Правил, а также срок выполнения мероприятий по технологическому присоединению со стороны заявителя и сетевой организации</w:t>
            </w:r>
            <w:r w:rsidRPr="00A2061C">
              <w:rPr>
                <w:rFonts w:ascii="Times New Roman" w:hAnsi="Times New Roman" w:cs="Times New Roman"/>
                <w:sz w:val="18"/>
                <w:szCs w:val="18"/>
              </w:rPr>
              <w:t>; - счета для внесения платы (части платы) за технологическое присоединение; -инструкции, содержащей последовательный перечень мероприятий, обеспечивающих безопасное</w:t>
            </w:r>
            <w:r>
              <w:rPr>
                <w:rFonts w:ascii="Times New Roman" w:hAnsi="Times New Roman" w:cs="Times New Roman"/>
                <w:sz w:val="18"/>
                <w:szCs w:val="18"/>
              </w:rPr>
              <w:t xml:space="preserve"> </w:t>
            </w:r>
            <w:r w:rsidRPr="00A2061C">
              <w:rPr>
                <w:rFonts w:ascii="Times New Roman" w:hAnsi="Times New Roman" w:cs="Times New Roman"/>
                <w:sz w:val="18"/>
                <w:szCs w:val="18"/>
              </w:rPr>
              <w:t>осуществление действиями заявителя фактического присоединения и фактического приема напряжения и мощности</w:t>
            </w:r>
          </w:p>
        </w:tc>
        <w:tc>
          <w:tcPr>
            <w:tcW w:w="770" w:type="pct"/>
            <w:tcBorders>
              <w:top w:val="single" w:sz="4" w:space="0" w:color="auto"/>
              <w:left w:val="single" w:sz="4" w:space="0" w:color="auto"/>
              <w:bottom w:val="single" w:sz="4" w:space="0" w:color="auto"/>
              <w:right w:val="single" w:sz="4" w:space="0" w:color="auto"/>
            </w:tcBorders>
          </w:tcPr>
          <w:p w:rsidR="0056020B" w:rsidRPr="00675315" w:rsidRDefault="0056020B" w:rsidP="008A77A8">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56020B" w:rsidRPr="00675315" w:rsidRDefault="0056020B" w:rsidP="008A77A8">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10 рабочих дней со дня поступления заявки</w:t>
            </w:r>
          </w:p>
        </w:tc>
        <w:tc>
          <w:tcPr>
            <w:tcW w:w="675" w:type="pct"/>
            <w:tcBorders>
              <w:left w:val="single" w:sz="4" w:space="0" w:color="auto"/>
              <w:right w:val="single" w:sz="4" w:space="0" w:color="auto"/>
            </w:tcBorders>
          </w:tcPr>
          <w:p w:rsidR="0056020B" w:rsidRPr="00675315" w:rsidRDefault="0056020B" w:rsidP="00A2061C">
            <w:pPr>
              <w:autoSpaceDE w:val="0"/>
              <w:autoSpaceDN w:val="0"/>
              <w:adjustRightInd w:val="0"/>
              <w:spacing w:after="0" w:line="240" w:lineRule="auto"/>
              <w:jc w:val="center"/>
              <w:outlineLvl w:val="0"/>
              <w:rPr>
                <w:rFonts w:ascii="Times New Roman" w:hAnsi="Times New Roman" w:cs="Times New Roman"/>
                <w:sz w:val="18"/>
                <w:szCs w:val="18"/>
              </w:rPr>
            </w:pPr>
            <w:r w:rsidRPr="00A2061C">
              <w:rPr>
                <w:rFonts w:ascii="Times New Roman" w:hAnsi="Times New Roman" w:cs="Times New Roman"/>
                <w:sz w:val="18"/>
                <w:szCs w:val="18"/>
              </w:rPr>
              <w:t>П.105 Правил ТП</w:t>
            </w:r>
          </w:p>
        </w:tc>
      </w:tr>
      <w:tr w:rsidR="0056020B" w:rsidRPr="006B1238" w:rsidTr="007E67F4">
        <w:trPr>
          <w:trHeight w:val="1615"/>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75315"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Оплата заявителем счета выставленного сетевой организации</w:t>
            </w:r>
          </w:p>
        </w:tc>
        <w:tc>
          <w:tcPr>
            <w:tcW w:w="958" w:type="pct"/>
            <w:tcBorders>
              <w:top w:val="single" w:sz="4" w:space="0" w:color="auto"/>
              <w:left w:val="single" w:sz="4" w:space="0" w:color="auto"/>
              <w:bottom w:val="single" w:sz="4" w:space="0" w:color="auto"/>
              <w:right w:val="single" w:sz="4" w:space="0" w:color="auto"/>
            </w:tcBorders>
          </w:tcPr>
          <w:p w:rsidR="0056020B" w:rsidRPr="00675315" w:rsidRDefault="0056020B" w:rsidP="008A77A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1.6. Уведомление заявителя о заключении договора ТП</w:t>
            </w:r>
          </w:p>
        </w:tc>
        <w:tc>
          <w:tcPr>
            <w:tcW w:w="770" w:type="pct"/>
            <w:tcBorders>
              <w:top w:val="single" w:sz="4" w:space="0" w:color="auto"/>
              <w:left w:val="single" w:sz="4" w:space="0" w:color="auto"/>
              <w:bottom w:val="single" w:sz="4" w:space="0" w:color="auto"/>
              <w:right w:val="single" w:sz="4" w:space="0" w:color="auto"/>
            </w:tcBorders>
          </w:tcPr>
          <w:p w:rsidR="0056020B" w:rsidRPr="00675315" w:rsidRDefault="0056020B" w:rsidP="008A77A8">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56020B" w:rsidRPr="00FA499B" w:rsidRDefault="001E1D5F" w:rsidP="008A77A8">
            <w:pPr>
              <w:autoSpaceDE w:val="0"/>
              <w:autoSpaceDN w:val="0"/>
              <w:adjustRightInd w:val="0"/>
              <w:spacing w:after="0" w:line="240" w:lineRule="auto"/>
              <w:jc w:val="both"/>
              <w:outlineLvl w:val="0"/>
              <w:rPr>
                <w:rFonts w:ascii="Times New Roman" w:hAnsi="Times New Roman" w:cs="Times New Roman"/>
                <w:sz w:val="18"/>
                <w:szCs w:val="18"/>
              </w:rPr>
            </w:pPr>
            <w:r w:rsidRPr="001E1D5F">
              <w:rPr>
                <w:rFonts w:ascii="Times New Roman" w:hAnsi="Times New Roman" w:cs="Times New Roman"/>
                <w:sz w:val="18"/>
                <w:szCs w:val="18"/>
              </w:rPr>
              <w:t xml:space="preserve">в течение 5 рабочих дней (если для заявителя установлено требование осуществления закупки с соблюдением требований Федерального закона "О контрактной системе в сфере закупок товаров, работ, услуг для обеспечения государственных и муниципальных нужд" или Федерального закона "О государственном </w:t>
            </w:r>
            <w:r w:rsidRPr="001E1D5F">
              <w:rPr>
                <w:rFonts w:ascii="Times New Roman" w:hAnsi="Times New Roman" w:cs="Times New Roman"/>
                <w:sz w:val="18"/>
                <w:szCs w:val="18"/>
              </w:rPr>
              <w:lastRenderedPageBreak/>
              <w:t>оборонном заказе", - в течение 15 рабочих дней) со дня выставления сетевой организацией счета</w:t>
            </w:r>
          </w:p>
        </w:tc>
        <w:tc>
          <w:tcPr>
            <w:tcW w:w="675" w:type="pct"/>
            <w:vMerge w:val="restart"/>
            <w:tcBorders>
              <w:left w:val="single" w:sz="4" w:space="0" w:color="auto"/>
              <w:right w:val="single" w:sz="4" w:space="0" w:color="auto"/>
            </w:tcBorders>
          </w:tcPr>
          <w:p w:rsidR="0056020B" w:rsidRPr="00675315"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lastRenderedPageBreak/>
              <w:t>п.106 Правил ТП</w:t>
            </w:r>
          </w:p>
        </w:tc>
      </w:tr>
      <w:tr w:rsidR="0056020B" w:rsidRPr="006B1238" w:rsidTr="007E67F4">
        <w:trPr>
          <w:trHeight w:val="1615"/>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1.6.1. Уведомление субъекта розничного рынка, указанного в заявке об оплате счета</w:t>
            </w:r>
          </w:p>
        </w:tc>
        <w:tc>
          <w:tcPr>
            <w:tcW w:w="770"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 позднее окончания рабочего дня, следующего за днем поступления сведений об оплате счета</w:t>
            </w:r>
          </w:p>
        </w:tc>
        <w:tc>
          <w:tcPr>
            <w:tcW w:w="675" w:type="pct"/>
            <w:vMerge/>
            <w:tcBorders>
              <w:left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56020B" w:rsidRPr="006B1238" w:rsidTr="007E67F4">
        <w:trPr>
          <w:trHeight w:val="1615"/>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Несоблюдение заявителем обязанности по оплате выставленного счета в установленный срок</w:t>
            </w:r>
          </w:p>
        </w:tc>
        <w:tc>
          <w:tcPr>
            <w:tcW w:w="958"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1.7. Аннулирование заявки</w:t>
            </w:r>
          </w:p>
        </w:tc>
        <w:tc>
          <w:tcPr>
            <w:tcW w:w="770"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A2061C" w:rsidRDefault="0056020B" w:rsidP="0056020B">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 течение 2 рабочих дней со дня истечения срока оплаты счета</w:t>
            </w:r>
            <w:r>
              <w:rPr>
                <w:rFonts w:ascii="Times New Roman" w:hAnsi="Times New Roman" w:cs="Times New Roman"/>
                <w:sz w:val="18"/>
                <w:szCs w:val="18"/>
              </w:rPr>
              <w:t xml:space="preserve"> </w:t>
            </w:r>
          </w:p>
        </w:tc>
        <w:tc>
          <w:tcPr>
            <w:tcW w:w="675" w:type="pct"/>
            <w:vMerge/>
            <w:tcBorders>
              <w:left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56020B" w:rsidRPr="006B1238" w:rsidTr="004D63FA">
        <w:trPr>
          <w:trHeight w:val="843"/>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1.7.1. Уведомление сетевой организацией субъекта розничного рынка, указанного в заявке об аннулировании заявки</w:t>
            </w:r>
          </w:p>
        </w:tc>
        <w:tc>
          <w:tcPr>
            <w:tcW w:w="770"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 течение 2 рабочих дней со дня истечения срока оплаты счета</w:t>
            </w:r>
          </w:p>
        </w:tc>
        <w:tc>
          <w:tcPr>
            <w:tcW w:w="675" w:type="pct"/>
            <w:vMerge/>
            <w:tcBorders>
              <w:left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4D63FA" w:rsidRPr="006B1238" w:rsidTr="00E32B58">
        <w:trPr>
          <w:trHeight w:val="1615"/>
        </w:trPr>
        <w:tc>
          <w:tcPr>
            <w:tcW w:w="310" w:type="pct"/>
            <w:vMerge w:val="restart"/>
            <w:tcBorders>
              <w:left w:val="single" w:sz="4" w:space="0" w:color="auto"/>
              <w:right w:val="single" w:sz="4" w:space="0" w:color="auto"/>
            </w:tcBorders>
          </w:tcPr>
          <w:p w:rsidR="004D63FA" w:rsidRPr="00FA499B" w:rsidRDefault="004D63FA"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2.</w:t>
            </w:r>
          </w:p>
        </w:tc>
        <w:tc>
          <w:tcPr>
            <w:tcW w:w="781" w:type="pct"/>
            <w:vMerge w:val="restart"/>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 xml:space="preserve">Выполнение мероприятий по технологическому присоединению, предусмотренных условиями типового договора и техническими условиями (в том числе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w:t>
            </w:r>
            <w:r w:rsidRPr="00A2061C">
              <w:rPr>
                <w:rFonts w:ascii="Times New Roman" w:hAnsi="Times New Roman" w:cs="Times New Roman"/>
                <w:sz w:val="18"/>
                <w:szCs w:val="18"/>
              </w:rPr>
              <w:lastRenderedPageBreak/>
              <w:t>устройствами заявителя электрической энергии (мощности)</w:t>
            </w:r>
          </w:p>
        </w:tc>
        <w:tc>
          <w:tcPr>
            <w:tcW w:w="839" w:type="pct"/>
            <w:vMerge w:val="restart"/>
            <w:tcBorders>
              <w:top w:val="single" w:sz="4" w:space="0" w:color="auto"/>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lastRenderedPageBreak/>
              <w:t>Осуществляется вне зависимости от исполнения обязательств заявителем (за исключением обязательств по оплате счета)</w:t>
            </w: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3148BF" w:rsidP="003148BF">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004D63FA" w:rsidRPr="00A2061C">
              <w:rPr>
                <w:rFonts w:ascii="Times New Roman" w:hAnsi="Times New Roman" w:cs="Times New Roman"/>
                <w:sz w:val="18"/>
                <w:szCs w:val="18"/>
              </w:rPr>
              <w:t>.</w:t>
            </w:r>
            <w:r>
              <w:rPr>
                <w:rFonts w:ascii="Times New Roman" w:hAnsi="Times New Roman" w:cs="Times New Roman"/>
                <w:sz w:val="18"/>
                <w:szCs w:val="18"/>
              </w:rPr>
              <w:t>1</w:t>
            </w:r>
            <w:r w:rsidR="004D63FA" w:rsidRPr="00A2061C">
              <w:rPr>
                <w:rFonts w:ascii="Times New Roman" w:hAnsi="Times New Roman" w:cs="Times New Roman"/>
                <w:sz w:val="18"/>
                <w:szCs w:val="18"/>
              </w:rPr>
              <w:t xml:space="preserve"> Разработка сетевой организацией проектной документации согласно обязательствам, предусмотренным техническими условиями</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4D63FA" w:rsidP="004D63FA">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 соотв</w:t>
            </w:r>
            <w:r>
              <w:rPr>
                <w:rFonts w:ascii="Times New Roman" w:hAnsi="Times New Roman" w:cs="Times New Roman"/>
                <w:sz w:val="18"/>
                <w:szCs w:val="18"/>
              </w:rPr>
              <w:t>етствии</w:t>
            </w:r>
            <w:r w:rsidRPr="00A2061C">
              <w:rPr>
                <w:rFonts w:ascii="Times New Roman" w:hAnsi="Times New Roman" w:cs="Times New Roman"/>
                <w:sz w:val="18"/>
                <w:szCs w:val="18"/>
              </w:rPr>
              <w:t xml:space="preserve"> с условиями типового договора</w:t>
            </w:r>
          </w:p>
        </w:tc>
        <w:tc>
          <w:tcPr>
            <w:tcW w:w="675" w:type="pct"/>
            <w:tcBorders>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 16, 18 Правил ТП</w:t>
            </w:r>
          </w:p>
        </w:tc>
      </w:tr>
      <w:tr w:rsidR="004D63FA" w:rsidRPr="006B1238" w:rsidTr="00E32B58">
        <w:trPr>
          <w:trHeight w:val="1615"/>
        </w:trPr>
        <w:tc>
          <w:tcPr>
            <w:tcW w:w="310" w:type="pct"/>
            <w:vMerge/>
            <w:tcBorders>
              <w:left w:val="single" w:sz="4" w:space="0" w:color="auto"/>
              <w:right w:val="single" w:sz="4" w:space="0" w:color="auto"/>
            </w:tcBorders>
          </w:tcPr>
          <w:p w:rsidR="004D63FA" w:rsidRPr="00FA499B" w:rsidRDefault="004D63FA"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3148BF" w:rsidP="003148BF">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004D63FA" w:rsidRPr="00A2061C">
              <w:rPr>
                <w:rFonts w:ascii="Times New Roman" w:hAnsi="Times New Roman" w:cs="Times New Roman"/>
                <w:sz w:val="18"/>
                <w:szCs w:val="18"/>
              </w:rPr>
              <w:t>.</w:t>
            </w:r>
            <w:r>
              <w:rPr>
                <w:rFonts w:ascii="Times New Roman" w:hAnsi="Times New Roman" w:cs="Times New Roman"/>
                <w:sz w:val="18"/>
                <w:szCs w:val="18"/>
              </w:rPr>
              <w:t>2</w:t>
            </w:r>
            <w:r w:rsidR="004D63FA" w:rsidRPr="00A2061C">
              <w:rPr>
                <w:rFonts w:ascii="Times New Roman" w:hAnsi="Times New Roman" w:cs="Times New Roman"/>
                <w:sz w:val="18"/>
                <w:szCs w:val="18"/>
              </w:rPr>
              <w:t>. Выполнение сетевой организацией технических условий, включая установку и допуск в эксплуатацию приборов учета электрической энергии и мощности</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4D63FA" w:rsidP="004D63FA">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 соотв</w:t>
            </w:r>
            <w:r>
              <w:rPr>
                <w:rFonts w:ascii="Times New Roman" w:hAnsi="Times New Roman" w:cs="Times New Roman"/>
                <w:sz w:val="18"/>
                <w:szCs w:val="18"/>
              </w:rPr>
              <w:t>етствии</w:t>
            </w:r>
            <w:r w:rsidRPr="00A2061C">
              <w:rPr>
                <w:rFonts w:ascii="Times New Roman" w:hAnsi="Times New Roman" w:cs="Times New Roman"/>
                <w:sz w:val="18"/>
                <w:szCs w:val="18"/>
              </w:rPr>
              <w:t xml:space="preserve"> с условиями типового договора</w:t>
            </w:r>
          </w:p>
        </w:tc>
        <w:tc>
          <w:tcPr>
            <w:tcW w:w="675" w:type="pct"/>
            <w:tcBorders>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п.108, 109 Правил ТП</w:t>
            </w:r>
          </w:p>
        </w:tc>
      </w:tr>
      <w:tr w:rsidR="003148BF" w:rsidRPr="006B1238" w:rsidTr="003148BF">
        <w:trPr>
          <w:trHeight w:val="1125"/>
        </w:trPr>
        <w:tc>
          <w:tcPr>
            <w:tcW w:w="310" w:type="pct"/>
            <w:tcBorders>
              <w:left w:val="single" w:sz="4" w:space="0" w:color="auto"/>
              <w:right w:val="single" w:sz="4" w:space="0" w:color="auto"/>
            </w:tcBorders>
          </w:tcPr>
          <w:p w:rsidR="003148BF" w:rsidRDefault="003148BF"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3148BF" w:rsidRPr="00A2061C" w:rsidRDefault="003148BF"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148BF" w:rsidRPr="00A2061C" w:rsidRDefault="003148BF"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148BF" w:rsidRPr="00A2061C" w:rsidRDefault="003148BF" w:rsidP="003148BF">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Pr="003148BF">
              <w:rPr>
                <w:rFonts w:ascii="Times New Roman" w:hAnsi="Times New Roman" w:cs="Times New Roman"/>
                <w:sz w:val="18"/>
                <w:szCs w:val="18"/>
              </w:rPr>
              <w:t>.</w:t>
            </w:r>
            <w:r>
              <w:rPr>
                <w:rFonts w:ascii="Times New Roman" w:hAnsi="Times New Roman" w:cs="Times New Roman"/>
                <w:sz w:val="18"/>
                <w:szCs w:val="18"/>
              </w:rPr>
              <w:t>3</w:t>
            </w:r>
            <w:r w:rsidRPr="003148BF">
              <w:rPr>
                <w:rFonts w:ascii="Times New Roman" w:hAnsi="Times New Roman" w:cs="Times New Roman"/>
                <w:sz w:val="18"/>
                <w:szCs w:val="18"/>
              </w:rPr>
              <w:t>. Осуществление сетевой организацией мероприятий по подключению энергопринимающих устройств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Правилами</w:t>
            </w:r>
            <w:r>
              <w:rPr>
                <w:rFonts w:ascii="Times New Roman" w:hAnsi="Times New Roman" w:cs="Times New Roman"/>
                <w:sz w:val="18"/>
                <w:szCs w:val="18"/>
              </w:rPr>
              <w:t xml:space="preserve"> </w:t>
            </w:r>
            <w:r w:rsidRPr="003148BF">
              <w:rPr>
                <w:rFonts w:ascii="Times New Roman" w:hAnsi="Times New Roman" w:cs="Times New Roman"/>
                <w:sz w:val="18"/>
                <w:szCs w:val="18"/>
              </w:rPr>
              <w:t>технологического функционирования электроэнергетических систем</w:t>
            </w:r>
            <w:r>
              <w:rPr>
                <w:rFonts w:ascii="Times New Roman" w:hAnsi="Times New Roman" w:cs="Times New Roman"/>
                <w:sz w:val="18"/>
                <w:szCs w:val="18"/>
              </w:rPr>
              <w:t>, утв. ПП РФ №937 от 13.08.2018 г.</w:t>
            </w:r>
          </w:p>
        </w:tc>
        <w:tc>
          <w:tcPr>
            <w:tcW w:w="770" w:type="pct"/>
            <w:tcBorders>
              <w:top w:val="single" w:sz="4" w:space="0" w:color="auto"/>
              <w:left w:val="single" w:sz="4" w:space="0" w:color="auto"/>
              <w:bottom w:val="single" w:sz="4" w:space="0" w:color="auto"/>
              <w:right w:val="single" w:sz="4" w:space="0" w:color="auto"/>
            </w:tcBorders>
          </w:tcPr>
          <w:p w:rsidR="003148BF" w:rsidRPr="00A2061C" w:rsidRDefault="003148BF"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148BF" w:rsidRPr="00A2061C" w:rsidRDefault="003148BF" w:rsidP="008A77A8">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3148BF" w:rsidRPr="00A2061C" w:rsidRDefault="003148BF"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3148BF" w:rsidRPr="006B1238" w:rsidTr="007E67F4">
        <w:trPr>
          <w:trHeight w:val="1615"/>
        </w:trPr>
        <w:tc>
          <w:tcPr>
            <w:tcW w:w="310" w:type="pct"/>
            <w:tcBorders>
              <w:left w:val="single" w:sz="4" w:space="0" w:color="auto"/>
              <w:right w:val="single" w:sz="4" w:space="0" w:color="auto"/>
            </w:tcBorders>
          </w:tcPr>
          <w:p w:rsidR="003148BF" w:rsidRDefault="003148BF"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3.</w:t>
            </w:r>
          </w:p>
        </w:tc>
        <w:tc>
          <w:tcPr>
            <w:tcW w:w="781" w:type="pct"/>
            <w:tcBorders>
              <w:left w:val="single" w:sz="4" w:space="0" w:color="auto"/>
              <w:right w:val="single" w:sz="4" w:space="0" w:color="auto"/>
            </w:tcBorders>
          </w:tcPr>
          <w:p w:rsidR="003148BF" w:rsidRPr="00A2061C" w:rsidRDefault="003148BF" w:rsidP="009D3D72">
            <w:pPr>
              <w:autoSpaceDE w:val="0"/>
              <w:autoSpaceDN w:val="0"/>
              <w:adjustRightInd w:val="0"/>
              <w:spacing w:after="0" w:line="240" w:lineRule="auto"/>
              <w:jc w:val="both"/>
              <w:outlineLvl w:val="0"/>
              <w:rPr>
                <w:rFonts w:ascii="Times New Roman" w:hAnsi="Times New Roman" w:cs="Times New Roman"/>
                <w:sz w:val="18"/>
                <w:szCs w:val="18"/>
              </w:rPr>
            </w:pPr>
            <w:r w:rsidRPr="003148BF">
              <w:rPr>
                <w:rFonts w:ascii="Times New Roman" w:hAnsi="Times New Roman" w:cs="Times New Roman"/>
                <w:sz w:val="18"/>
                <w:szCs w:val="18"/>
              </w:rPr>
              <w:t>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оформление документов об осуществлении технологического присоединения.</w:t>
            </w:r>
          </w:p>
        </w:tc>
        <w:tc>
          <w:tcPr>
            <w:tcW w:w="839" w:type="pct"/>
            <w:tcBorders>
              <w:top w:val="single" w:sz="4" w:space="0" w:color="auto"/>
              <w:left w:val="single" w:sz="4" w:space="0" w:color="auto"/>
              <w:bottom w:val="single" w:sz="4" w:space="0" w:color="auto"/>
              <w:right w:val="single" w:sz="4" w:space="0" w:color="auto"/>
            </w:tcBorders>
          </w:tcPr>
          <w:p w:rsidR="003148BF" w:rsidRPr="00A2061C" w:rsidRDefault="003148BF" w:rsidP="008A4E99">
            <w:pPr>
              <w:autoSpaceDE w:val="0"/>
              <w:autoSpaceDN w:val="0"/>
              <w:adjustRightInd w:val="0"/>
              <w:spacing w:after="0" w:line="240" w:lineRule="auto"/>
              <w:jc w:val="both"/>
              <w:outlineLvl w:val="0"/>
              <w:rPr>
                <w:rFonts w:ascii="Times New Roman" w:hAnsi="Times New Roman" w:cs="Times New Roman"/>
                <w:sz w:val="18"/>
                <w:szCs w:val="18"/>
              </w:rPr>
            </w:pPr>
            <w:r w:rsidRPr="003148BF">
              <w:rPr>
                <w:rFonts w:ascii="Times New Roman" w:hAnsi="Times New Roman" w:cs="Times New Roman"/>
                <w:sz w:val="18"/>
                <w:szCs w:val="18"/>
              </w:rPr>
              <w:t>Выполнение заявителем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3148BF" w:rsidRPr="00A2061C" w:rsidRDefault="003148BF" w:rsidP="008A77A8">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3148BF">
              <w:rPr>
                <w:rFonts w:ascii="Times New Roman" w:hAnsi="Times New Roman" w:cs="Times New Roman"/>
                <w:sz w:val="18"/>
                <w:szCs w:val="18"/>
              </w:rPr>
              <w:t>.1. Проверка выполнения заявителем и сетевой организацией технических условий в соответствии с разделом IX Правил технологического присоединения</w:t>
            </w:r>
            <w:r>
              <w:rPr>
                <w:rFonts w:ascii="Times New Roman" w:hAnsi="Times New Roman" w:cs="Times New Roman"/>
                <w:sz w:val="18"/>
                <w:szCs w:val="18"/>
              </w:rPr>
              <w:t>, утв. ПП РФ №861 от 24.12.2004 г.</w:t>
            </w:r>
          </w:p>
        </w:tc>
        <w:tc>
          <w:tcPr>
            <w:tcW w:w="770" w:type="pct"/>
            <w:tcBorders>
              <w:top w:val="single" w:sz="4" w:space="0" w:color="auto"/>
              <w:left w:val="single" w:sz="4" w:space="0" w:color="auto"/>
              <w:bottom w:val="single" w:sz="4" w:space="0" w:color="auto"/>
              <w:right w:val="single" w:sz="4" w:space="0" w:color="auto"/>
            </w:tcBorders>
          </w:tcPr>
          <w:p w:rsidR="003148BF" w:rsidRPr="00A2061C" w:rsidRDefault="003148BF"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148BF" w:rsidRPr="00A2061C" w:rsidRDefault="003148BF" w:rsidP="008A77A8">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3148BF" w:rsidRPr="00A2061C" w:rsidRDefault="003148BF" w:rsidP="008A4E99">
            <w:pPr>
              <w:autoSpaceDE w:val="0"/>
              <w:autoSpaceDN w:val="0"/>
              <w:adjustRightInd w:val="0"/>
              <w:spacing w:after="0" w:line="240" w:lineRule="auto"/>
              <w:jc w:val="both"/>
              <w:outlineLvl w:val="0"/>
              <w:rPr>
                <w:rFonts w:ascii="Times New Roman" w:hAnsi="Times New Roman" w:cs="Times New Roman"/>
                <w:sz w:val="18"/>
                <w:szCs w:val="18"/>
              </w:rPr>
            </w:pPr>
            <w:r w:rsidRPr="003148BF">
              <w:rPr>
                <w:rFonts w:ascii="Times New Roman" w:hAnsi="Times New Roman" w:cs="Times New Roman"/>
                <w:sz w:val="18"/>
                <w:szCs w:val="18"/>
              </w:rPr>
              <w:t>п. 16, 18 Правил ТП</w:t>
            </w:r>
          </w:p>
        </w:tc>
      </w:tr>
      <w:tr w:rsidR="00980048" w:rsidRPr="006B1238" w:rsidTr="00980048">
        <w:trPr>
          <w:trHeight w:val="1104"/>
        </w:trPr>
        <w:tc>
          <w:tcPr>
            <w:tcW w:w="310" w:type="pct"/>
            <w:tcBorders>
              <w:left w:val="single" w:sz="4" w:space="0" w:color="auto"/>
              <w:right w:val="single" w:sz="4" w:space="0" w:color="auto"/>
            </w:tcBorders>
          </w:tcPr>
          <w:p w:rsidR="00980048" w:rsidRDefault="00980048"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80048" w:rsidRPr="00A2061C" w:rsidRDefault="00980048"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80048" w:rsidRPr="00A2061C" w:rsidRDefault="00980048"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980048" w:rsidRPr="00A2061C" w:rsidRDefault="00980048" w:rsidP="008A77A8">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980048">
              <w:rPr>
                <w:rFonts w:ascii="Times New Roman" w:hAnsi="Times New Roman" w:cs="Times New Roman"/>
                <w:sz w:val="18"/>
                <w:szCs w:val="18"/>
              </w:rPr>
              <w:t>.1.1. Направление заявителем уведомления в сетевую организацию о выполнении технических условий с необходимым пакетом документов</w:t>
            </w:r>
          </w:p>
        </w:tc>
        <w:tc>
          <w:tcPr>
            <w:tcW w:w="770" w:type="pct"/>
            <w:tcBorders>
              <w:top w:val="single" w:sz="4" w:space="0" w:color="auto"/>
              <w:left w:val="single" w:sz="4" w:space="0" w:color="auto"/>
              <w:bottom w:val="single" w:sz="4" w:space="0" w:color="auto"/>
              <w:right w:val="single" w:sz="4" w:space="0" w:color="auto"/>
            </w:tcBorders>
          </w:tcPr>
          <w:p w:rsidR="00980048" w:rsidRPr="00A2061C" w:rsidRDefault="00980048" w:rsidP="008A77A8">
            <w:pPr>
              <w:pStyle w:val="ConsPlusNormal"/>
              <w:jc w:val="both"/>
              <w:rPr>
                <w:rFonts w:ascii="Times New Roman" w:hAnsi="Times New Roman" w:cs="Times New Roman"/>
                <w:sz w:val="18"/>
                <w:szCs w:val="18"/>
              </w:rPr>
            </w:pPr>
            <w:r>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980048" w:rsidRPr="00A2061C" w:rsidRDefault="00980048" w:rsidP="008A77A8">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980048" w:rsidRPr="00A2061C" w:rsidRDefault="00980048" w:rsidP="008A4E99">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Пункт 85 Правил ТП</w:t>
            </w:r>
          </w:p>
        </w:tc>
      </w:tr>
      <w:tr w:rsidR="003148BF" w:rsidRPr="006B1238" w:rsidTr="007E67F4">
        <w:trPr>
          <w:trHeight w:val="1615"/>
        </w:trPr>
        <w:tc>
          <w:tcPr>
            <w:tcW w:w="310" w:type="pct"/>
            <w:tcBorders>
              <w:left w:val="single" w:sz="4" w:space="0" w:color="auto"/>
              <w:right w:val="single" w:sz="4" w:space="0" w:color="auto"/>
            </w:tcBorders>
          </w:tcPr>
          <w:p w:rsidR="003148BF" w:rsidRDefault="003148BF"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3148BF" w:rsidRPr="00A2061C" w:rsidRDefault="003148BF"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148BF" w:rsidRPr="00A2061C" w:rsidRDefault="003148BF"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148BF" w:rsidRPr="00A2061C" w:rsidRDefault="00980048" w:rsidP="00980048">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980048">
              <w:rPr>
                <w:rFonts w:ascii="Times New Roman" w:hAnsi="Times New Roman" w:cs="Times New Roman"/>
                <w:sz w:val="18"/>
                <w:szCs w:val="18"/>
              </w:rPr>
              <w:t>.1.2. Осуществление сетевой организацией мероприятий по проверке выполнения заявителем технических условий, которые включают: проверку соответствия технических решений,</w:t>
            </w:r>
            <w:r>
              <w:rPr>
                <w:rFonts w:ascii="Times New Roman" w:hAnsi="Times New Roman" w:cs="Times New Roman"/>
                <w:sz w:val="18"/>
                <w:szCs w:val="18"/>
              </w:rPr>
              <w:t xml:space="preserve"> </w:t>
            </w:r>
            <w:r w:rsidRPr="00980048">
              <w:rPr>
                <w:rFonts w:ascii="Times New Roman" w:hAnsi="Times New Roman" w:cs="Times New Roman"/>
                <w:sz w:val="18"/>
                <w:szCs w:val="18"/>
              </w:rPr>
              <w:t>параметров оборудования (устройств) и проведенных мероприятий, указанных в документах, представленных заявителем к уведомлению, требованиям технических условий; осмотр (обследование) электроустановок заявителей</w:t>
            </w:r>
            <w:r>
              <w:rPr>
                <w:rFonts w:ascii="Times New Roman" w:hAnsi="Times New Roman" w:cs="Times New Roman"/>
                <w:sz w:val="18"/>
                <w:szCs w:val="18"/>
              </w:rPr>
              <w:t xml:space="preserve"> (</w:t>
            </w:r>
            <w:r w:rsidRPr="00980048">
              <w:rPr>
                <w:rFonts w:ascii="Times New Roman" w:hAnsi="Times New Roman" w:cs="Times New Roman"/>
                <w:sz w:val="18"/>
                <w:szCs w:val="18"/>
              </w:rPr>
              <w:t>Мероприятия по проверке выполнения технических условий заявителями в случае присоединения по одному источнику электроснабжения, а также заявителями, для которых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r>
              <w:rPr>
                <w:rFonts w:ascii="Times New Roman" w:hAnsi="Times New Roman" w:cs="Times New Roman"/>
                <w:sz w:val="18"/>
                <w:szCs w:val="18"/>
              </w:rPr>
              <w:t>).</w:t>
            </w:r>
          </w:p>
        </w:tc>
        <w:tc>
          <w:tcPr>
            <w:tcW w:w="770" w:type="pct"/>
            <w:tcBorders>
              <w:top w:val="single" w:sz="4" w:space="0" w:color="auto"/>
              <w:left w:val="single" w:sz="4" w:space="0" w:color="auto"/>
              <w:bottom w:val="single" w:sz="4" w:space="0" w:color="auto"/>
              <w:right w:val="single" w:sz="4" w:space="0" w:color="auto"/>
            </w:tcBorders>
          </w:tcPr>
          <w:p w:rsidR="003148BF" w:rsidRPr="00A2061C" w:rsidRDefault="003148BF"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148BF" w:rsidRPr="00980048" w:rsidRDefault="00980048" w:rsidP="008A77A8">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Не позднее 10 дней со дня получения от заявителя уведомления вне зависимости от факта</w:t>
            </w:r>
            <w:r>
              <w:rPr>
                <w:rFonts w:ascii="Times New Roman" w:hAnsi="Times New Roman" w:cs="Times New Roman"/>
                <w:sz w:val="18"/>
                <w:szCs w:val="18"/>
              </w:rPr>
              <w:t xml:space="preserve"> </w:t>
            </w:r>
            <w:r w:rsidRPr="00980048">
              <w:rPr>
                <w:rFonts w:ascii="Times New Roman" w:hAnsi="Times New Roman" w:cs="Times New Roman"/>
                <w:sz w:val="18"/>
                <w:szCs w:val="18"/>
              </w:rPr>
              <w:t>выполнения технических условий со стороны сетевой организации.</w:t>
            </w:r>
          </w:p>
        </w:tc>
        <w:tc>
          <w:tcPr>
            <w:tcW w:w="675" w:type="pct"/>
            <w:tcBorders>
              <w:left w:val="single" w:sz="4" w:space="0" w:color="auto"/>
              <w:right w:val="single" w:sz="4" w:space="0" w:color="auto"/>
            </w:tcBorders>
          </w:tcPr>
          <w:p w:rsidR="003148BF" w:rsidRPr="00980048" w:rsidRDefault="00980048" w:rsidP="008A4E99">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П. 82-90 Правил ТП</w:t>
            </w:r>
          </w:p>
        </w:tc>
      </w:tr>
      <w:tr w:rsidR="00980048" w:rsidRPr="006B1238" w:rsidTr="00980048">
        <w:trPr>
          <w:trHeight w:val="1268"/>
        </w:trPr>
        <w:tc>
          <w:tcPr>
            <w:tcW w:w="310" w:type="pct"/>
            <w:tcBorders>
              <w:left w:val="single" w:sz="4" w:space="0" w:color="auto"/>
              <w:right w:val="single" w:sz="4" w:space="0" w:color="auto"/>
            </w:tcBorders>
          </w:tcPr>
          <w:p w:rsidR="00980048" w:rsidRDefault="00980048"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80048" w:rsidRPr="00A2061C" w:rsidRDefault="00980048"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80048" w:rsidRPr="00A2061C" w:rsidRDefault="00980048" w:rsidP="008A4E99">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Невыполнение заявителем требований технических условий и проектной документации по результатам проверки выполнения заявителем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980048" w:rsidRDefault="00980048" w:rsidP="00980048">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980048">
              <w:rPr>
                <w:rFonts w:ascii="Times New Roman" w:hAnsi="Times New Roman" w:cs="Times New Roman"/>
                <w:sz w:val="18"/>
                <w:szCs w:val="18"/>
              </w:rPr>
              <w:t>.2. Заявителю выдается перечень замечаний, выявленных в ходе проверки и подлежащих выполнению заявителем</w:t>
            </w:r>
          </w:p>
        </w:tc>
        <w:tc>
          <w:tcPr>
            <w:tcW w:w="770" w:type="pct"/>
            <w:tcBorders>
              <w:top w:val="single" w:sz="4" w:space="0" w:color="auto"/>
              <w:left w:val="single" w:sz="4" w:space="0" w:color="auto"/>
              <w:bottom w:val="single" w:sz="4" w:space="0" w:color="auto"/>
              <w:right w:val="single" w:sz="4" w:space="0" w:color="auto"/>
            </w:tcBorders>
          </w:tcPr>
          <w:p w:rsidR="00980048" w:rsidRPr="00A2061C" w:rsidRDefault="00980048"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980048" w:rsidRPr="00980048" w:rsidRDefault="00980048" w:rsidP="008A77A8">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980048" w:rsidRPr="00980048" w:rsidRDefault="00980048" w:rsidP="008A4E99">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Пункт 89 Правил технологического присоединения</w:t>
            </w:r>
          </w:p>
        </w:tc>
      </w:tr>
      <w:tr w:rsidR="00980048" w:rsidRPr="006B1238" w:rsidTr="00980048">
        <w:trPr>
          <w:trHeight w:val="1257"/>
        </w:trPr>
        <w:tc>
          <w:tcPr>
            <w:tcW w:w="310" w:type="pct"/>
            <w:tcBorders>
              <w:left w:val="single" w:sz="4" w:space="0" w:color="auto"/>
              <w:right w:val="single" w:sz="4" w:space="0" w:color="auto"/>
            </w:tcBorders>
          </w:tcPr>
          <w:p w:rsidR="00980048" w:rsidRDefault="00980048"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80048" w:rsidRPr="00A2061C" w:rsidRDefault="00980048"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80048" w:rsidRPr="00A2061C" w:rsidRDefault="00980048" w:rsidP="008A4E99">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Уведомление заявителем сетевой организации об устранении замечаний с приложением информации о принятых мерах по их устранению</w:t>
            </w:r>
          </w:p>
        </w:tc>
        <w:tc>
          <w:tcPr>
            <w:tcW w:w="958" w:type="pct"/>
            <w:tcBorders>
              <w:top w:val="single" w:sz="4" w:space="0" w:color="auto"/>
              <w:left w:val="single" w:sz="4" w:space="0" w:color="auto"/>
              <w:bottom w:val="single" w:sz="4" w:space="0" w:color="auto"/>
              <w:right w:val="single" w:sz="4" w:space="0" w:color="auto"/>
            </w:tcBorders>
          </w:tcPr>
          <w:p w:rsidR="00980048" w:rsidRDefault="00980048" w:rsidP="00980048">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980048">
              <w:rPr>
                <w:rFonts w:ascii="Times New Roman" w:hAnsi="Times New Roman" w:cs="Times New Roman"/>
                <w:sz w:val="18"/>
                <w:szCs w:val="18"/>
              </w:rPr>
              <w:t>.3. Повторный осмотр электроустановки заявителя, выдача заявителю акта о выполнении технических условий после устранения всех замечаний</w:t>
            </w:r>
          </w:p>
        </w:tc>
        <w:tc>
          <w:tcPr>
            <w:tcW w:w="770" w:type="pct"/>
            <w:tcBorders>
              <w:top w:val="single" w:sz="4" w:space="0" w:color="auto"/>
              <w:left w:val="single" w:sz="4" w:space="0" w:color="auto"/>
              <w:bottom w:val="single" w:sz="4" w:space="0" w:color="auto"/>
              <w:right w:val="single" w:sz="4" w:space="0" w:color="auto"/>
            </w:tcBorders>
          </w:tcPr>
          <w:p w:rsidR="00980048" w:rsidRPr="00A2061C" w:rsidRDefault="00980048" w:rsidP="008A77A8">
            <w:pPr>
              <w:pStyle w:val="ConsPlusNormal"/>
              <w:jc w:val="both"/>
              <w:rPr>
                <w:rFonts w:ascii="Times New Roman" w:hAnsi="Times New Roman" w:cs="Times New Roman"/>
                <w:sz w:val="18"/>
                <w:szCs w:val="18"/>
              </w:rPr>
            </w:pPr>
            <w:r w:rsidRPr="00980048">
              <w:rPr>
                <w:rFonts w:ascii="Times New Roman" w:hAnsi="Times New Roman" w:cs="Times New Roman"/>
                <w:sz w:val="18"/>
                <w:szCs w:val="18"/>
              </w:rPr>
              <w:t>Не позднее 3 рабочих дней после получения от заявителя уведомления об устранении замечаний</w:t>
            </w:r>
          </w:p>
        </w:tc>
        <w:tc>
          <w:tcPr>
            <w:tcW w:w="667" w:type="pct"/>
            <w:tcBorders>
              <w:top w:val="single" w:sz="4" w:space="0" w:color="auto"/>
              <w:left w:val="single" w:sz="4" w:space="0" w:color="auto"/>
              <w:bottom w:val="single" w:sz="4" w:space="0" w:color="auto"/>
              <w:right w:val="single" w:sz="4" w:space="0" w:color="auto"/>
            </w:tcBorders>
          </w:tcPr>
          <w:p w:rsidR="00980048" w:rsidRPr="00980048" w:rsidRDefault="00980048" w:rsidP="008A77A8">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980048" w:rsidRPr="00980048" w:rsidRDefault="00980048" w:rsidP="008A4E99">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Пункт 89 Правил технологического присоединения</w:t>
            </w:r>
          </w:p>
        </w:tc>
      </w:tr>
      <w:tr w:rsidR="00980048" w:rsidRPr="006B1238" w:rsidTr="007E67F4">
        <w:trPr>
          <w:trHeight w:val="1615"/>
        </w:trPr>
        <w:tc>
          <w:tcPr>
            <w:tcW w:w="310" w:type="pct"/>
            <w:tcBorders>
              <w:left w:val="single" w:sz="4" w:space="0" w:color="auto"/>
              <w:right w:val="single" w:sz="4" w:space="0" w:color="auto"/>
            </w:tcBorders>
          </w:tcPr>
          <w:p w:rsidR="00980048" w:rsidRDefault="00980048"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80048" w:rsidRPr="00A2061C" w:rsidRDefault="00980048"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80048" w:rsidRPr="00A2061C" w:rsidRDefault="00980048" w:rsidP="008A4E99">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Выполнение заявителем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980048" w:rsidRDefault="00980048" w:rsidP="00980048">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980048">
              <w:rPr>
                <w:rFonts w:ascii="Times New Roman" w:hAnsi="Times New Roman" w:cs="Times New Roman"/>
                <w:sz w:val="18"/>
                <w:szCs w:val="18"/>
              </w:rPr>
              <w:t>.4. Комплекс технических и организационных мероприятий,</w:t>
            </w:r>
            <w:r>
              <w:rPr>
                <w:rFonts w:ascii="Times New Roman" w:hAnsi="Times New Roman" w:cs="Times New Roman"/>
                <w:sz w:val="18"/>
                <w:szCs w:val="18"/>
              </w:rPr>
              <w:t xml:space="preserve"> </w:t>
            </w:r>
            <w:r w:rsidRPr="00980048">
              <w:rPr>
                <w:rFonts w:ascii="Times New Roman" w:hAnsi="Times New Roman" w:cs="Times New Roman"/>
                <w:sz w:val="18"/>
                <w:szCs w:val="18"/>
              </w:rPr>
              <w:t>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tc>
        <w:tc>
          <w:tcPr>
            <w:tcW w:w="770" w:type="pct"/>
            <w:tcBorders>
              <w:top w:val="single" w:sz="4" w:space="0" w:color="auto"/>
              <w:left w:val="single" w:sz="4" w:space="0" w:color="auto"/>
              <w:bottom w:val="single" w:sz="4" w:space="0" w:color="auto"/>
              <w:right w:val="single" w:sz="4" w:space="0" w:color="auto"/>
            </w:tcBorders>
          </w:tcPr>
          <w:p w:rsidR="00980048" w:rsidRPr="00A2061C" w:rsidRDefault="00980048"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980048" w:rsidRPr="00980048" w:rsidRDefault="00980048" w:rsidP="008A77A8">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В соответствии с условиями</w:t>
            </w:r>
            <w:r>
              <w:rPr>
                <w:rFonts w:ascii="Times New Roman" w:hAnsi="Times New Roman" w:cs="Times New Roman"/>
                <w:sz w:val="18"/>
                <w:szCs w:val="18"/>
              </w:rPr>
              <w:t xml:space="preserve"> типового договора</w:t>
            </w:r>
          </w:p>
        </w:tc>
        <w:tc>
          <w:tcPr>
            <w:tcW w:w="675" w:type="pct"/>
            <w:tcBorders>
              <w:left w:val="single" w:sz="4" w:space="0" w:color="auto"/>
              <w:right w:val="single" w:sz="4" w:space="0" w:color="auto"/>
            </w:tcBorders>
          </w:tcPr>
          <w:p w:rsidR="00980048" w:rsidRPr="00980048" w:rsidRDefault="00980048" w:rsidP="008A4E99">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Пункт 7 Правил ТП</w:t>
            </w:r>
          </w:p>
        </w:tc>
      </w:tr>
      <w:tr w:rsidR="004D63FA" w:rsidRPr="006B1238" w:rsidTr="007E67F4">
        <w:trPr>
          <w:trHeight w:val="1615"/>
        </w:trPr>
        <w:tc>
          <w:tcPr>
            <w:tcW w:w="310" w:type="pct"/>
            <w:vMerge w:val="restart"/>
            <w:tcBorders>
              <w:left w:val="single" w:sz="4" w:space="0" w:color="auto"/>
              <w:right w:val="single" w:sz="4" w:space="0" w:color="auto"/>
            </w:tcBorders>
          </w:tcPr>
          <w:p w:rsidR="004D63FA" w:rsidRPr="00FA499B" w:rsidRDefault="00980048"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4</w:t>
            </w:r>
            <w:r w:rsidR="004D63FA">
              <w:rPr>
                <w:rFonts w:ascii="Times New Roman" w:hAnsi="Times New Roman" w:cs="Times New Roman"/>
                <w:sz w:val="18"/>
                <w:szCs w:val="18"/>
              </w:rPr>
              <w:t>.</w:t>
            </w:r>
          </w:p>
        </w:tc>
        <w:tc>
          <w:tcPr>
            <w:tcW w:w="781" w:type="pct"/>
            <w:vMerge w:val="restart"/>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Оформление документов об осуществлении технологического присоединения.</w:t>
            </w:r>
          </w:p>
        </w:tc>
        <w:tc>
          <w:tcPr>
            <w:tcW w:w="839" w:type="pct"/>
            <w:tcBorders>
              <w:top w:val="single" w:sz="4" w:space="0" w:color="auto"/>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980048" w:rsidP="00980048">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4</w:t>
            </w:r>
            <w:r w:rsidR="004D63FA" w:rsidRPr="00A2061C">
              <w:rPr>
                <w:rFonts w:ascii="Times New Roman" w:hAnsi="Times New Roman" w:cs="Times New Roman"/>
                <w:sz w:val="18"/>
                <w:szCs w:val="18"/>
              </w:rPr>
              <w:t>.</w:t>
            </w:r>
            <w:r>
              <w:rPr>
                <w:rFonts w:ascii="Times New Roman" w:hAnsi="Times New Roman" w:cs="Times New Roman"/>
                <w:sz w:val="18"/>
                <w:szCs w:val="18"/>
              </w:rPr>
              <w:t>1</w:t>
            </w:r>
            <w:r w:rsidR="004D63FA" w:rsidRPr="00A2061C">
              <w:rPr>
                <w:rFonts w:ascii="Times New Roman" w:hAnsi="Times New Roman" w:cs="Times New Roman"/>
                <w:sz w:val="18"/>
                <w:szCs w:val="18"/>
              </w:rPr>
              <w:t>. Размещение в личном кабинете потребителя акта допуска прибора учета в эксплуатацию</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 позднее окончания рабочего дня, осуществления допуска в эксплуатацию прибора учета</w:t>
            </w:r>
          </w:p>
        </w:tc>
        <w:tc>
          <w:tcPr>
            <w:tcW w:w="675" w:type="pct"/>
            <w:tcBorders>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П.109 Правил ТП</w:t>
            </w:r>
          </w:p>
        </w:tc>
      </w:tr>
      <w:tr w:rsidR="004D63FA" w:rsidRPr="006B1238" w:rsidTr="00870AAC">
        <w:trPr>
          <w:trHeight w:val="1032"/>
        </w:trPr>
        <w:tc>
          <w:tcPr>
            <w:tcW w:w="310" w:type="pct"/>
            <w:vMerge/>
            <w:tcBorders>
              <w:left w:val="single" w:sz="4" w:space="0" w:color="auto"/>
              <w:right w:val="single" w:sz="4" w:space="0" w:color="auto"/>
            </w:tcBorders>
          </w:tcPr>
          <w:p w:rsidR="004D63FA" w:rsidRPr="00FA499B" w:rsidRDefault="004D63FA"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980048" w:rsidP="00980048">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4</w:t>
            </w:r>
            <w:r w:rsidR="004D63FA" w:rsidRPr="0056020B">
              <w:rPr>
                <w:rFonts w:ascii="Times New Roman" w:hAnsi="Times New Roman" w:cs="Times New Roman"/>
                <w:sz w:val="18"/>
                <w:szCs w:val="18"/>
              </w:rPr>
              <w:t>.</w:t>
            </w:r>
            <w:r>
              <w:rPr>
                <w:rFonts w:ascii="Times New Roman" w:hAnsi="Times New Roman" w:cs="Times New Roman"/>
                <w:sz w:val="18"/>
                <w:szCs w:val="18"/>
              </w:rPr>
              <w:t>2</w:t>
            </w:r>
            <w:r w:rsidR="004D63FA" w:rsidRPr="0056020B">
              <w:rPr>
                <w:rFonts w:ascii="Times New Roman" w:hAnsi="Times New Roman" w:cs="Times New Roman"/>
                <w:sz w:val="18"/>
                <w:szCs w:val="18"/>
              </w:rPr>
              <w:t xml:space="preserve">. Составление и размещение в личном кабинете потребителя </w:t>
            </w:r>
            <w:r w:rsidR="00870AAC" w:rsidRPr="00870AAC">
              <w:rPr>
                <w:rFonts w:ascii="Times New Roman" w:hAnsi="Times New Roman" w:cs="Times New Roman"/>
                <w:sz w:val="18"/>
                <w:szCs w:val="18"/>
              </w:rPr>
              <w:t>акта о выполнении технических условий и акта об осуществлении</w:t>
            </w:r>
            <w:r w:rsidR="00870AAC">
              <w:rPr>
                <w:rFonts w:ascii="Times New Roman" w:hAnsi="Times New Roman" w:cs="Times New Roman"/>
                <w:sz w:val="18"/>
                <w:szCs w:val="18"/>
              </w:rPr>
              <w:t xml:space="preserve"> технологического присоединения</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vMerge w:val="restart"/>
            <w:tcBorders>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п.110 Правил ТП</w:t>
            </w:r>
          </w:p>
        </w:tc>
      </w:tr>
      <w:tr w:rsidR="004D63FA" w:rsidRPr="006B1238" w:rsidTr="00870AAC">
        <w:trPr>
          <w:trHeight w:val="1410"/>
        </w:trPr>
        <w:tc>
          <w:tcPr>
            <w:tcW w:w="310" w:type="pct"/>
            <w:vMerge/>
            <w:tcBorders>
              <w:left w:val="single" w:sz="4" w:space="0" w:color="auto"/>
              <w:right w:val="single" w:sz="4" w:space="0" w:color="auto"/>
            </w:tcBorders>
          </w:tcPr>
          <w:p w:rsidR="004D63FA" w:rsidRPr="00FA499B" w:rsidRDefault="004D63FA"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56020B" w:rsidRDefault="00870AAC" w:rsidP="00870AAC">
            <w:pPr>
              <w:jc w:val="both"/>
              <w:rPr>
                <w:rFonts w:ascii="Times New Roman" w:hAnsi="Times New Roman" w:cs="Times New Roman"/>
                <w:sz w:val="18"/>
                <w:szCs w:val="18"/>
              </w:rPr>
            </w:pPr>
            <w:r>
              <w:rPr>
                <w:rFonts w:ascii="Times New Roman" w:hAnsi="Times New Roman" w:cs="Times New Roman"/>
                <w:sz w:val="18"/>
                <w:szCs w:val="18"/>
              </w:rPr>
              <w:t>4</w:t>
            </w:r>
            <w:r w:rsidR="004D63FA" w:rsidRPr="0056020B">
              <w:rPr>
                <w:rFonts w:ascii="Times New Roman" w:hAnsi="Times New Roman" w:cs="Times New Roman"/>
                <w:sz w:val="18"/>
                <w:szCs w:val="18"/>
              </w:rPr>
              <w:t>.</w:t>
            </w:r>
            <w:r>
              <w:rPr>
                <w:rFonts w:ascii="Times New Roman" w:hAnsi="Times New Roman" w:cs="Times New Roman"/>
                <w:sz w:val="18"/>
                <w:szCs w:val="18"/>
              </w:rPr>
              <w:t>2</w:t>
            </w:r>
            <w:r w:rsidR="004D63FA" w:rsidRPr="0056020B">
              <w:rPr>
                <w:rFonts w:ascii="Times New Roman" w:hAnsi="Times New Roman" w:cs="Times New Roman"/>
                <w:sz w:val="18"/>
                <w:szCs w:val="18"/>
              </w:rPr>
              <w:t xml:space="preserve">.1. Уведомление заявителя о составлении и направлении в Личный кабинет </w:t>
            </w:r>
            <w:r w:rsidRPr="00870AAC">
              <w:rPr>
                <w:rFonts w:ascii="Times New Roman" w:hAnsi="Times New Roman" w:cs="Times New Roman"/>
                <w:sz w:val="18"/>
                <w:szCs w:val="18"/>
              </w:rPr>
              <w:t>актов о выполнении технических условий и об осуществлении технологического присоединения</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Не позднее окончания рабочего дня, в течение которого были составлены и размещены указанные документы</w:t>
            </w:r>
          </w:p>
        </w:tc>
        <w:tc>
          <w:tcPr>
            <w:tcW w:w="675" w:type="pct"/>
            <w:vMerge/>
            <w:tcBorders>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A2061C" w:rsidRPr="006B1238" w:rsidTr="007E67F4">
        <w:trPr>
          <w:trHeight w:val="1615"/>
        </w:trPr>
        <w:tc>
          <w:tcPr>
            <w:tcW w:w="310" w:type="pct"/>
            <w:tcBorders>
              <w:left w:val="single" w:sz="4" w:space="0" w:color="auto"/>
              <w:right w:val="single" w:sz="4" w:space="0" w:color="auto"/>
            </w:tcBorders>
          </w:tcPr>
          <w:p w:rsidR="00A2061C" w:rsidRPr="00FA499B" w:rsidRDefault="00A2061C"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A2061C" w:rsidRPr="00FA499B" w:rsidRDefault="00A2061C"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A2061C" w:rsidRPr="00A2061C" w:rsidRDefault="00A2061C"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A2061C" w:rsidRPr="00A2061C" w:rsidRDefault="00870AAC" w:rsidP="00870AAC">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4</w:t>
            </w:r>
            <w:r w:rsidR="0056020B" w:rsidRPr="0056020B">
              <w:rPr>
                <w:rFonts w:ascii="Times New Roman" w:hAnsi="Times New Roman" w:cs="Times New Roman"/>
                <w:sz w:val="18"/>
                <w:szCs w:val="18"/>
              </w:rPr>
              <w:t>.</w:t>
            </w:r>
            <w:r>
              <w:rPr>
                <w:rFonts w:ascii="Times New Roman" w:hAnsi="Times New Roman" w:cs="Times New Roman"/>
                <w:sz w:val="18"/>
                <w:szCs w:val="18"/>
              </w:rPr>
              <w:t>2</w:t>
            </w:r>
            <w:r w:rsidR="0056020B" w:rsidRPr="0056020B">
              <w:rPr>
                <w:rFonts w:ascii="Times New Roman" w:hAnsi="Times New Roman" w:cs="Times New Roman"/>
                <w:sz w:val="18"/>
                <w:szCs w:val="18"/>
              </w:rPr>
              <w:t xml:space="preserve">.2. Уведомление о направлении в Личный кабинет Заявителя </w:t>
            </w:r>
            <w:r>
              <w:rPr>
                <w:rFonts w:ascii="Times New Roman" w:hAnsi="Times New Roman" w:cs="Times New Roman"/>
                <w:sz w:val="18"/>
                <w:szCs w:val="18"/>
              </w:rPr>
              <w:t xml:space="preserve">акта </w:t>
            </w:r>
            <w:r w:rsidRPr="00870AAC">
              <w:rPr>
                <w:rFonts w:ascii="Times New Roman" w:hAnsi="Times New Roman" w:cs="Times New Roman"/>
                <w:sz w:val="18"/>
                <w:szCs w:val="18"/>
              </w:rPr>
              <w:t xml:space="preserve">об осуществлении технологического присоединения </w:t>
            </w:r>
            <w:r w:rsidR="004D63FA" w:rsidRPr="0056020B">
              <w:rPr>
                <w:rFonts w:ascii="Times New Roman" w:hAnsi="Times New Roman" w:cs="Times New Roman"/>
                <w:sz w:val="18"/>
                <w:szCs w:val="18"/>
              </w:rPr>
              <w:t xml:space="preserve"> </w:t>
            </w:r>
            <w:r w:rsidR="004D63FA">
              <w:rPr>
                <w:rFonts w:ascii="Times New Roman" w:hAnsi="Times New Roman" w:cs="Times New Roman"/>
                <w:sz w:val="18"/>
                <w:szCs w:val="18"/>
              </w:rPr>
              <w:t xml:space="preserve">и направление </w:t>
            </w:r>
            <w:r w:rsidR="004D63FA" w:rsidRPr="0056020B">
              <w:rPr>
                <w:rFonts w:ascii="Times New Roman" w:hAnsi="Times New Roman" w:cs="Times New Roman"/>
                <w:sz w:val="18"/>
                <w:szCs w:val="18"/>
              </w:rPr>
              <w:t>гарантирующе</w:t>
            </w:r>
            <w:r w:rsidR="004D63FA">
              <w:rPr>
                <w:rFonts w:ascii="Times New Roman" w:hAnsi="Times New Roman" w:cs="Times New Roman"/>
                <w:sz w:val="18"/>
                <w:szCs w:val="18"/>
              </w:rPr>
              <w:t>му</w:t>
            </w:r>
            <w:r w:rsidR="004D63FA" w:rsidRPr="0056020B">
              <w:rPr>
                <w:rFonts w:ascii="Times New Roman" w:hAnsi="Times New Roman" w:cs="Times New Roman"/>
                <w:sz w:val="18"/>
                <w:szCs w:val="18"/>
              </w:rPr>
              <w:t xml:space="preserve"> поставщик</w:t>
            </w:r>
            <w:r w:rsidR="004D63FA">
              <w:rPr>
                <w:rFonts w:ascii="Times New Roman" w:hAnsi="Times New Roman" w:cs="Times New Roman"/>
                <w:sz w:val="18"/>
                <w:szCs w:val="18"/>
              </w:rPr>
              <w:t>у.</w:t>
            </w:r>
          </w:p>
        </w:tc>
        <w:tc>
          <w:tcPr>
            <w:tcW w:w="770" w:type="pct"/>
            <w:tcBorders>
              <w:top w:val="single" w:sz="4" w:space="0" w:color="auto"/>
              <w:left w:val="single" w:sz="4" w:space="0" w:color="auto"/>
              <w:bottom w:val="single" w:sz="4" w:space="0" w:color="auto"/>
              <w:right w:val="single" w:sz="4" w:space="0" w:color="auto"/>
            </w:tcBorders>
          </w:tcPr>
          <w:p w:rsidR="00A2061C" w:rsidRPr="00A2061C" w:rsidRDefault="004D63FA" w:rsidP="008A77A8">
            <w:pPr>
              <w:pStyle w:val="ConsPlusNormal"/>
              <w:jc w:val="both"/>
              <w:rPr>
                <w:rFonts w:ascii="Times New Roman" w:hAnsi="Times New Roman" w:cs="Times New Roman"/>
                <w:sz w:val="18"/>
                <w:szCs w:val="18"/>
              </w:rPr>
            </w:pPr>
            <w:r>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A2061C" w:rsidRPr="00A2061C" w:rsidRDefault="004D63FA" w:rsidP="004D63FA">
            <w:pPr>
              <w:autoSpaceDE w:val="0"/>
              <w:autoSpaceDN w:val="0"/>
              <w:adjustRightInd w:val="0"/>
              <w:spacing w:after="0" w:line="240" w:lineRule="auto"/>
              <w:jc w:val="both"/>
              <w:outlineLvl w:val="0"/>
              <w:rPr>
                <w:rFonts w:ascii="Times New Roman" w:hAnsi="Times New Roman" w:cs="Times New Roman"/>
                <w:sz w:val="18"/>
                <w:szCs w:val="18"/>
              </w:rPr>
            </w:pPr>
            <w:r w:rsidRPr="004D63FA">
              <w:rPr>
                <w:rFonts w:ascii="Times New Roman" w:hAnsi="Times New Roman" w:cs="Times New Roman"/>
                <w:sz w:val="18"/>
                <w:szCs w:val="18"/>
              </w:rPr>
              <w:t>В течение 2 рабочих дней со дня размещения в личном кабинете заявителя уведомления об обеспечении сетевой организацией возможности присоединения к электрическим сетям</w:t>
            </w:r>
          </w:p>
        </w:tc>
        <w:tc>
          <w:tcPr>
            <w:tcW w:w="675" w:type="pct"/>
            <w:tcBorders>
              <w:left w:val="single" w:sz="4" w:space="0" w:color="auto"/>
              <w:right w:val="single" w:sz="4" w:space="0" w:color="auto"/>
            </w:tcBorders>
          </w:tcPr>
          <w:p w:rsidR="00A2061C"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п.111 Правил ТП</w:t>
            </w:r>
          </w:p>
        </w:tc>
      </w:tr>
    </w:tbl>
    <w:p w:rsidR="00E620D4" w:rsidRDefault="00E620D4" w:rsidP="00553BAC">
      <w:pPr>
        <w:rPr>
          <w:szCs w:val="24"/>
        </w:rPr>
      </w:pPr>
    </w:p>
    <w:p w:rsidR="005356EA" w:rsidRPr="003A7A62" w:rsidRDefault="00042283" w:rsidP="00553BAC">
      <w:pPr>
        <w:rPr>
          <w:rFonts w:ascii="Times New Roman" w:hAnsi="Times New Roman" w:cs="Times New Roman"/>
          <w:b/>
          <w:sz w:val="24"/>
          <w:szCs w:val="24"/>
        </w:rPr>
      </w:pPr>
      <w:r w:rsidRPr="00042283">
        <w:rPr>
          <w:rFonts w:ascii="Times New Roman" w:hAnsi="Times New Roman" w:cs="Times New Roman"/>
          <w:b/>
          <w:sz w:val="24"/>
          <w:szCs w:val="24"/>
        </w:rPr>
        <w:t>КОНТАКТНАЯ ИНФОРМАЦИЯ</w:t>
      </w:r>
      <w:r w:rsidRPr="003A7A62">
        <w:rPr>
          <w:rFonts w:ascii="Times New Roman" w:hAnsi="Times New Roman" w:cs="Times New Roman"/>
          <w:b/>
          <w:sz w:val="24"/>
          <w:szCs w:val="24"/>
        </w:rPr>
        <w:t>:</w:t>
      </w:r>
    </w:p>
    <w:p w:rsidR="00042283" w:rsidRPr="00042283" w:rsidRDefault="00042283" w:rsidP="00553BAC">
      <w:pPr>
        <w:rPr>
          <w:rFonts w:ascii="Times New Roman" w:hAnsi="Times New Roman" w:cs="Times New Roman"/>
          <w:sz w:val="18"/>
          <w:szCs w:val="18"/>
        </w:rPr>
      </w:pPr>
      <w:r w:rsidRPr="00042283">
        <w:rPr>
          <w:rFonts w:ascii="Times New Roman" w:hAnsi="Times New Roman" w:cs="Times New Roman"/>
          <w:sz w:val="18"/>
          <w:szCs w:val="18"/>
        </w:rPr>
        <w:t>Контактный телефон Сервисного центра</w:t>
      </w:r>
      <w:r w:rsidRPr="003B764A">
        <w:rPr>
          <w:rFonts w:ascii="Times New Roman" w:hAnsi="Times New Roman" w:cs="Times New Roman"/>
          <w:sz w:val="18"/>
          <w:szCs w:val="18"/>
        </w:rPr>
        <w:t>:</w:t>
      </w:r>
      <w:r w:rsidRPr="00042283">
        <w:rPr>
          <w:rFonts w:ascii="Times New Roman" w:hAnsi="Times New Roman" w:cs="Times New Roman"/>
          <w:sz w:val="18"/>
          <w:szCs w:val="18"/>
        </w:rPr>
        <w:t xml:space="preserve"> 8 (3953) 41-51-32.</w:t>
      </w:r>
    </w:p>
    <w:sectPr w:rsidR="00042283" w:rsidRPr="00042283" w:rsidSect="00CF1210">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70D94"/>
    <w:multiLevelType w:val="hybridMultilevel"/>
    <w:tmpl w:val="91C0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C8042A"/>
    <w:rsid w:val="00005DF4"/>
    <w:rsid w:val="000074F5"/>
    <w:rsid w:val="000157C3"/>
    <w:rsid w:val="00015E5B"/>
    <w:rsid w:val="00017A0A"/>
    <w:rsid w:val="00036B7F"/>
    <w:rsid w:val="00042283"/>
    <w:rsid w:val="0005452A"/>
    <w:rsid w:val="0005618C"/>
    <w:rsid w:val="00075F3C"/>
    <w:rsid w:val="00076BE2"/>
    <w:rsid w:val="000859A6"/>
    <w:rsid w:val="00095DDB"/>
    <w:rsid w:val="000B10A5"/>
    <w:rsid w:val="000D055D"/>
    <w:rsid w:val="000E15EB"/>
    <w:rsid w:val="000E3A8A"/>
    <w:rsid w:val="000E5A66"/>
    <w:rsid w:val="000F202D"/>
    <w:rsid w:val="000F630F"/>
    <w:rsid w:val="000F6FA0"/>
    <w:rsid w:val="0012228D"/>
    <w:rsid w:val="001301CF"/>
    <w:rsid w:val="0013640B"/>
    <w:rsid w:val="001428C3"/>
    <w:rsid w:val="00153DDB"/>
    <w:rsid w:val="00155175"/>
    <w:rsid w:val="00161834"/>
    <w:rsid w:val="001768ED"/>
    <w:rsid w:val="0017742D"/>
    <w:rsid w:val="00184D3D"/>
    <w:rsid w:val="0018679D"/>
    <w:rsid w:val="001B256E"/>
    <w:rsid w:val="001C68AB"/>
    <w:rsid w:val="001D0655"/>
    <w:rsid w:val="001D4C14"/>
    <w:rsid w:val="001E1D5F"/>
    <w:rsid w:val="001E6F90"/>
    <w:rsid w:val="001E781D"/>
    <w:rsid w:val="001F0B8F"/>
    <w:rsid w:val="0020652D"/>
    <w:rsid w:val="00211424"/>
    <w:rsid w:val="0022055E"/>
    <w:rsid w:val="002448C9"/>
    <w:rsid w:val="002478AA"/>
    <w:rsid w:val="0025072E"/>
    <w:rsid w:val="002706B0"/>
    <w:rsid w:val="00295DC5"/>
    <w:rsid w:val="00297AD3"/>
    <w:rsid w:val="002A10DB"/>
    <w:rsid w:val="002A6148"/>
    <w:rsid w:val="002B07F3"/>
    <w:rsid w:val="002B700E"/>
    <w:rsid w:val="002D0FAD"/>
    <w:rsid w:val="002E32AE"/>
    <w:rsid w:val="003148BF"/>
    <w:rsid w:val="00317D49"/>
    <w:rsid w:val="00323E31"/>
    <w:rsid w:val="00326240"/>
    <w:rsid w:val="00334222"/>
    <w:rsid w:val="00344E57"/>
    <w:rsid w:val="003558CF"/>
    <w:rsid w:val="00362FED"/>
    <w:rsid w:val="00363D1F"/>
    <w:rsid w:val="00367012"/>
    <w:rsid w:val="0037171D"/>
    <w:rsid w:val="003834D7"/>
    <w:rsid w:val="003924C3"/>
    <w:rsid w:val="003A0935"/>
    <w:rsid w:val="003A7A62"/>
    <w:rsid w:val="003B764A"/>
    <w:rsid w:val="003C1761"/>
    <w:rsid w:val="003D702F"/>
    <w:rsid w:val="003F07CB"/>
    <w:rsid w:val="003F3FAD"/>
    <w:rsid w:val="003F7837"/>
    <w:rsid w:val="00412F6A"/>
    <w:rsid w:val="0042027E"/>
    <w:rsid w:val="00425710"/>
    <w:rsid w:val="0044287E"/>
    <w:rsid w:val="0044422F"/>
    <w:rsid w:val="004452FF"/>
    <w:rsid w:val="00453139"/>
    <w:rsid w:val="0045614C"/>
    <w:rsid w:val="00470477"/>
    <w:rsid w:val="004837C6"/>
    <w:rsid w:val="004B3D6C"/>
    <w:rsid w:val="004C565F"/>
    <w:rsid w:val="004D2472"/>
    <w:rsid w:val="004D63FA"/>
    <w:rsid w:val="004E196F"/>
    <w:rsid w:val="00500E6C"/>
    <w:rsid w:val="00506BF3"/>
    <w:rsid w:val="00511816"/>
    <w:rsid w:val="005227F3"/>
    <w:rsid w:val="00522F2B"/>
    <w:rsid w:val="0052552C"/>
    <w:rsid w:val="005356EA"/>
    <w:rsid w:val="0055300E"/>
    <w:rsid w:val="00553BAC"/>
    <w:rsid w:val="0056020B"/>
    <w:rsid w:val="0057768C"/>
    <w:rsid w:val="005808C6"/>
    <w:rsid w:val="005B14A2"/>
    <w:rsid w:val="005F1494"/>
    <w:rsid w:val="005F3D01"/>
    <w:rsid w:val="00620BAD"/>
    <w:rsid w:val="006261FA"/>
    <w:rsid w:val="00637D26"/>
    <w:rsid w:val="00644EE0"/>
    <w:rsid w:val="006538FF"/>
    <w:rsid w:val="006565EC"/>
    <w:rsid w:val="00670F51"/>
    <w:rsid w:val="00675315"/>
    <w:rsid w:val="00697FBD"/>
    <w:rsid w:val="006A0963"/>
    <w:rsid w:val="006A17E4"/>
    <w:rsid w:val="006B1238"/>
    <w:rsid w:val="006B279F"/>
    <w:rsid w:val="006D52FC"/>
    <w:rsid w:val="006F6827"/>
    <w:rsid w:val="007158F2"/>
    <w:rsid w:val="00715C2D"/>
    <w:rsid w:val="007219FC"/>
    <w:rsid w:val="007329C1"/>
    <w:rsid w:val="00733BE4"/>
    <w:rsid w:val="00735062"/>
    <w:rsid w:val="00747708"/>
    <w:rsid w:val="00752D1D"/>
    <w:rsid w:val="00763D4D"/>
    <w:rsid w:val="0077605A"/>
    <w:rsid w:val="007B2C82"/>
    <w:rsid w:val="007B4030"/>
    <w:rsid w:val="007B5D43"/>
    <w:rsid w:val="007D655A"/>
    <w:rsid w:val="007E4E30"/>
    <w:rsid w:val="007E67F4"/>
    <w:rsid w:val="00817050"/>
    <w:rsid w:val="008260DD"/>
    <w:rsid w:val="00850A8C"/>
    <w:rsid w:val="0085371A"/>
    <w:rsid w:val="00854DE3"/>
    <w:rsid w:val="00863431"/>
    <w:rsid w:val="00870AAC"/>
    <w:rsid w:val="0087561D"/>
    <w:rsid w:val="00884411"/>
    <w:rsid w:val="00885452"/>
    <w:rsid w:val="00896677"/>
    <w:rsid w:val="008A1FD4"/>
    <w:rsid w:val="008A4E99"/>
    <w:rsid w:val="008A77A8"/>
    <w:rsid w:val="008B1FCC"/>
    <w:rsid w:val="008B28F9"/>
    <w:rsid w:val="008B661F"/>
    <w:rsid w:val="008B75A9"/>
    <w:rsid w:val="008C6CBB"/>
    <w:rsid w:val="008E4308"/>
    <w:rsid w:val="008E492D"/>
    <w:rsid w:val="008E4ECC"/>
    <w:rsid w:val="008E5B46"/>
    <w:rsid w:val="008E7DD3"/>
    <w:rsid w:val="008F7A2F"/>
    <w:rsid w:val="0090564D"/>
    <w:rsid w:val="00907291"/>
    <w:rsid w:val="00925574"/>
    <w:rsid w:val="009256F0"/>
    <w:rsid w:val="00943348"/>
    <w:rsid w:val="009450D1"/>
    <w:rsid w:val="009453BB"/>
    <w:rsid w:val="00971C89"/>
    <w:rsid w:val="00980048"/>
    <w:rsid w:val="00981E6B"/>
    <w:rsid w:val="009A4F5F"/>
    <w:rsid w:val="009B61F0"/>
    <w:rsid w:val="009D3D72"/>
    <w:rsid w:val="009F37C2"/>
    <w:rsid w:val="009F76BB"/>
    <w:rsid w:val="00A12D9C"/>
    <w:rsid w:val="00A204EE"/>
    <w:rsid w:val="00A2061C"/>
    <w:rsid w:val="00A22CA4"/>
    <w:rsid w:val="00A32619"/>
    <w:rsid w:val="00A51F44"/>
    <w:rsid w:val="00A54668"/>
    <w:rsid w:val="00A72644"/>
    <w:rsid w:val="00A81C89"/>
    <w:rsid w:val="00A82186"/>
    <w:rsid w:val="00A85FD4"/>
    <w:rsid w:val="00AA4729"/>
    <w:rsid w:val="00AB6676"/>
    <w:rsid w:val="00AC4808"/>
    <w:rsid w:val="00AC5141"/>
    <w:rsid w:val="00AC71EA"/>
    <w:rsid w:val="00AD1B57"/>
    <w:rsid w:val="00AF0284"/>
    <w:rsid w:val="00B007A6"/>
    <w:rsid w:val="00B1462C"/>
    <w:rsid w:val="00B42B9E"/>
    <w:rsid w:val="00B42C5F"/>
    <w:rsid w:val="00B433C4"/>
    <w:rsid w:val="00B54F3B"/>
    <w:rsid w:val="00B65620"/>
    <w:rsid w:val="00B72BE1"/>
    <w:rsid w:val="00B72C78"/>
    <w:rsid w:val="00B849FE"/>
    <w:rsid w:val="00B91C62"/>
    <w:rsid w:val="00BA5E29"/>
    <w:rsid w:val="00BB3F43"/>
    <w:rsid w:val="00BD5E07"/>
    <w:rsid w:val="00C16F46"/>
    <w:rsid w:val="00C21D18"/>
    <w:rsid w:val="00C30D78"/>
    <w:rsid w:val="00C4797B"/>
    <w:rsid w:val="00C47E91"/>
    <w:rsid w:val="00C53D74"/>
    <w:rsid w:val="00C671DB"/>
    <w:rsid w:val="00C76BCA"/>
    <w:rsid w:val="00C8042A"/>
    <w:rsid w:val="00C831FE"/>
    <w:rsid w:val="00C8422F"/>
    <w:rsid w:val="00C92670"/>
    <w:rsid w:val="00CA2584"/>
    <w:rsid w:val="00CB0663"/>
    <w:rsid w:val="00CB58A7"/>
    <w:rsid w:val="00CD2E0B"/>
    <w:rsid w:val="00CD6F96"/>
    <w:rsid w:val="00CF1210"/>
    <w:rsid w:val="00CF2B25"/>
    <w:rsid w:val="00D053F4"/>
    <w:rsid w:val="00D119D3"/>
    <w:rsid w:val="00D153B8"/>
    <w:rsid w:val="00D20269"/>
    <w:rsid w:val="00D30E24"/>
    <w:rsid w:val="00D3524F"/>
    <w:rsid w:val="00D36E64"/>
    <w:rsid w:val="00D42790"/>
    <w:rsid w:val="00D44BD4"/>
    <w:rsid w:val="00D54D8E"/>
    <w:rsid w:val="00D6070D"/>
    <w:rsid w:val="00D67822"/>
    <w:rsid w:val="00D93A10"/>
    <w:rsid w:val="00DA24F6"/>
    <w:rsid w:val="00DA7A2D"/>
    <w:rsid w:val="00DC2106"/>
    <w:rsid w:val="00DD2650"/>
    <w:rsid w:val="00DE402C"/>
    <w:rsid w:val="00DF193F"/>
    <w:rsid w:val="00DF5F91"/>
    <w:rsid w:val="00DF79A8"/>
    <w:rsid w:val="00E0336B"/>
    <w:rsid w:val="00E06163"/>
    <w:rsid w:val="00E10BA4"/>
    <w:rsid w:val="00E22BA2"/>
    <w:rsid w:val="00E2635E"/>
    <w:rsid w:val="00E312A1"/>
    <w:rsid w:val="00E60C2B"/>
    <w:rsid w:val="00E616B7"/>
    <w:rsid w:val="00E620D4"/>
    <w:rsid w:val="00E67F6B"/>
    <w:rsid w:val="00E82E49"/>
    <w:rsid w:val="00EA0E5B"/>
    <w:rsid w:val="00EA3C9C"/>
    <w:rsid w:val="00EA45B4"/>
    <w:rsid w:val="00EA4999"/>
    <w:rsid w:val="00EC1211"/>
    <w:rsid w:val="00EC328E"/>
    <w:rsid w:val="00ED0A09"/>
    <w:rsid w:val="00EF3CC7"/>
    <w:rsid w:val="00EF7989"/>
    <w:rsid w:val="00F039BF"/>
    <w:rsid w:val="00F07F13"/>
    <w:rsid w:val="00F10AF1"/>
    <w:rsid w:val="00F1490C"/>
    <w:rsid w:val="00F3631B"/>
    <w:rsid w:val="00F4423E"/>
    <w:rsid w:val="00F47B4A"/>
    <w:rsid w:val="00F67D9D"/>
    <w:rsid w:val="00F7680A"/>
    <w:rsid w:val="00F8021E"/>
    <w:rsid w:val="00F825FE"/>
    <w:rsid w:val="00F94327"/>
    <w:rsid w:val="00F962B6"/>
    <w:rsid w:val="00FA499B"/>
    <w:rsid w:val="00FD4F24"/>
    <w:rsid w:val="00FE220C"/>
    <w:rsid w:val="00FF07BD"/>
    <w:rsid w:val="00FF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2594B-383B-47A8-BFA3-8328195C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42A"/>
    <w:pPr>
      <w:widowControl w:val="0"/>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6B1238"/>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rsid w:val="006B1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7A40C-39CC-4FD2-9DCD-736F20AC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8</Pages>
  <Words>1966</Words>
  <Characters>11208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Кардаполов Сергей Валерьевич</cp:lastModifiedBy>
  <cp:revision>250</cp:revision>
  <dcterms:created xsi:type="dcterms:W3CDTF">2014-05-13T04:57:00Z</dcterms:created>
  <dcterms:modified xsi:type="dcterms:W3CDTF">2023-02-16T23:43:00Z</dcterms:modified>
</cp:coreProperties>
</file>